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понятности и когнитивной доступности сайта</w:t>
      </w:r>
    </w:p>
    <w:p>
      <w:pPr>
        <w:pStyle w:val="Subtitle"/>
      </w:pPr>
      <w:r>
        <w:t xml:space="preserve">Проект для обсуждения. Редакция 0.2</w:t>
      </w:r>
    </w:p>
    <w:p>
      <w:pPr>
        <w:pStyle w:val="Date"/>
      </w:pPr>
      <w:r>
        <w:t xml:space="preserve">Сентябрь 2026 года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/>
          </w:r>
          <w:r>
            <w:instrText xml:space="preserve">TOC \o "1-2" \h \z \u</w:instrText>
          </w:r>
          <w:r>
            <w:fldChar w:fldCharType="separate"/>
          </w:r>
        </w:p>
        <w:p>
          <w:pPr>
            <w:pStyle w:val="TOC2"/>
            <w:tabs>
              <w:tab w:val="right" w:leader="dot" w:pos="9638"/>
            </w:tabs>
          </w:pPr>
          <w:hyperlink w:anchor="_TocAnchor4_1363" w:history="1">
            <w:r>
              <w:t xml:space="preserve">1. Назначение и основание</w:t>
            </w:r>
          </w:hyperlink>
          <w:r>
            <w:tab/>
            <w:t>1</w:t>
          </w:r>
        </w:p>
        <w:p>
          <w:pPr>
            <w:pStyle w:val="TOC2"/>
            <w:tabs>
              <w:tab w:val="right" w:leader="dot" w:pos="9638"/>
            </w:tabs>
          </w:pPr>
          <w:hyperlink w:anchor="_TocAnchor8_1365" w:history="1">
            <w:r>
              <w:t xml:space="preserve">2. Подготовка исследования</w:t>
            </w:r>
          </w:hyperlink>
          <w:r>
            <w:tab/>
            <w:t>1</w:t>
          </w:r>
        </w:p>
        <w:p>
          <w:pPr>
            <w:pStyle w:val="TOC2"/>
            <w:tabs>
              <w:tab w:val="right" w:leader="dot" w:pos="9638"/>
            </w:tabs>
          </w:pPr>
          <w:hyperlink w:anchor="_TocAnchor13_1367" w:history="1">
            <w:r>
              <w:t xml:space="preserve">3. Согласие, помощь и остановка</w:t>
            </w:r>
          </w:hyperlink>
          <w:r>
            <w:tab/>
            <w:t>2</w:t>
          </w:r>
        </w:p>
        <w:p>
          <w:pPr>
            <w:pStyle w:val="TOC2"/>
            <w:tabs>
              <w:tab w:val="right" w:leader="dot" w:pos="9638"/>
            </w:tabs>
          </w:pPr>
          <w:hyperlink w:anchor="_TocAnchor24_1369" w:history="1">
            <w:r>
              <w:t xml:space="preserve">4. Проверки К01–К12</w:t>
            </w:r>
          </w:hyperlink>
          <w:r>
            <w:tab/>
            <w:t>3</w:t>
          </w:r>
        </w:p>
        <w:p>
          <w:pPr>
            <w:pStyle w:val="TOC2"/>
            <w:tabs>
              <w:tab w:val="right" w:leader="dot" w:pos="9638"/>
            </w:tabs>
          </w:pPr>
          <w:hyperlink w:anchor="_TocAnchor28_1371" w:history="1">
            <w:r>
              <w:t xml:space="preserve">5. Карточка наблюдения</w:t>
            </w:r>
          </w:hyperlink>
          <w:r>
            <w:tab/>
            <w:t>5</w:t>
          </w:r>
        </w:p>
        <w:p>
          <w:pPr>
            <w:pStyle w:val="TOC2"/>
            <w:tabs>
              <w:tab w:val="right" w:leader="dot" w:pos="9638"/>
            </w:tabs>
          </w:pPr>
          <w:hyperlink w:anchor="_TocAnchor31_1373" w:history="1">
            <w:r>
              <w:t xml:space="preserve">6. Правила решения</w:t>
            </w:r>
          </w:hyperlink>
          <w:r>
            <w:tab/>
            <w:t>5</w:t>
          </w:r>
        </w:p>
        <w:p>
          <w:pPr>
            <w:pStyle w:val="TOC2"/>
            <w:tabs>
              <w:tab w:val="right" w:leader="dot" w:pos="9638"/>
            </w:tabs>
          </w:pPr>
          <w:hyperlink w:anchor="_TocAnchor37_1375" w:history="1">
            <w:r>
              <w:t xml:space="preserve">7. Хранение и передача результатов</w:t>
            </w:r>
          </w:hyperlink>
          <w:r>
            <w:tab/>
            <w:t>6</w:t>
          </w:r>
        </w:p>
        <w:p>
          <w:r>
            <w:fldChar w:fldCharType="end"/>
          </w:r>
        </w:p>
      </w:sdtContent>
    </w:sdt>
    <w:p>
      <w:pPr>
        <w:pStyle w:val="FirstParagraph"/>
      </w:pPr>
      <w:r>
        <w:t xml:space="preserve">Проект версии 0.2 от 11 сентября 2026 года. Прикладное дополнение к</w:t>
      </w:r>
      <w:r>
        <w:t xml:space="preserve"> </w:t>
      </w:r>
      <w:hyperlink r:id="rId18">
        <w:r>
          <w:rPr>
            <w:rStyle w:val="Hyperlink"/>
          </w:rPr>
          <w:t xml:space="preserve">методологии разработки</w:t>
        </w:r>
      </w:hyperlink>
      <w:r>
        <w:t xml:space="preserve"> </w:t>
      </w:r>
      <w:r>
        <w:t xml:space="preserve">и</w:t>
      </w:r>
      <w:r>
        <w:t xml:space="preserve"> </w:t>
      </w:r>
      <w:hyperlink r:id="rId19">
        <w:r>
          <w:rPr>
            <w:rStyle w:val="Hyperlink"/>
          </w:rPr>
          <w:t xml:space="preserve">методологии оценки</w:t>
        </w:r>
      </w:hyperlink>
      <w:r>
        <w:t xml:space="preserve">. Реальные пользовательские сессии по этому протоколу пока не проведены.</w:t>
      </w:r>
    </w:p>
    <w:bookmarkStart w:id="24" w:name="назначение-и-основание"/>
    <w:p>
      <w:pPr>
        <w:pStyle w:val="Heading2"/>
      </w:pPr>
      <w:bookmarkStart w:id="1364" w:name="_TocAnchor4_1363"/>
      <w:r>
        <w:t xml:space="preserve">1. Назначение и основание</w:t>
      </w:r>
      <w:bookmarkEnd w:id="1364"/>
    </w:p>
    <w:p>
      <w:pPr>
        <w:pStyle w:val="FirstParagraph"/>
      </w:pPr>
      <w:r>
        <w:t xml:space="preserve">Протокол помогает установить, понимает ли человек назначение услуги, свое положение в процессе, следующий шаг, ошибку и последствия решения. Он также позволяет найти требования к памяти, вниманию, чтению и темпу работы, которые мешают выполнению задачи.</w:t>
      </w:r>
    </w:p>
    <w:p>
      <w:pPr>
        <w:pStyle w:val="BodyText"/>
      </w:pPr>
      <w:r>
        <w:t xml:space="preserve">Основания:</w:t>
      </w:r>
      <w:r>
        <w:t xml:space="preserve"> </w:t>
      </w:r>
      <w:hyperlink r:id="rId20">
        <w:r>
          <w:rPr>
            <w:rStyle w:val="Hyperlink"/>
          </w:rPr>
          <w:t xml:space="preserve">W3C COGA, Making Content Usable, 29.04.2021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W3C об участии пользователей в оценке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общие руководящие указания ГОСТ Р ИСО 21801-1-2022, официальная область применения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практика пользовательского тестирования Uu-tilsynet</w:t>
        </w:r>
      </w:hyperlink>
      <w:r>
        <w:t xml:space="preserve">.</w:t>
      </w:r>
    </w:p>
    <w:p>
      <w:pPr>
        <w:pStyle w:val="BodyText"/>
      </w:pPr>
      <w:r>
        <w:t xml:space="preserve">Все процедуры, обозначения К01–К12 и правила решения ниже являются авторским проектом. Они не составляют отдельный уровень соответствия WCAG. Нарушение конкретного технического критерия фиксируется дополнительно в техническом реестре, с собственной применимостью и доказательством. Сложность задания для человека сама по себе не доказывает нарушение WCAG или российского стандарта.</w:t>
      </w:r>
    </w:p>
    <w:bookmarkEnd w:id="24"/>
    <w:bookmarkStart w:id="25" w:name="подготовка-исследования"/>
    <w:p>
      <w:pPr>
        <w:pStyle w:val="Heading2"/>
      </w:pPr>
      <w:bookmarkStart w:id="1366" w:name="_TocAnchor8_1365"/>
      <w:r>
        <w:t xml:space="preserve">2. Подготовка исследования</w:t>
      </w:r>
      <w:bookmarkEnd w:id="1366"/>
    </w:p>
    <w:p>
      <w:pPr>
        <w:pStyle w:val="FirstParagraph"/>
      </w:pPr>
      <w:r>
        <w:t xml:space="preserve">Сначала задают решение, ради которого проводится исследование: например, можно ли выпускать новый сценарий подачи заявления или требуется переработать подтверждение платежа. Выбирают реальные значимые задачи и явно указывают, какое понимание необходимо человеку для безопасного самостоятельного действия.</w:t>
      </w:r>
    </w:p>
    <w:p>
      <w:pPr>
        <w:pStyle w:val="BodyText"/>
      </w:pPr>
      <w:r>
        <w:t xml:space="preserve">В паспорт включают: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2890"/>
        <w:gridCol w:w="6748"/>
      </w:tblGrid>
      <w:tr>
        <w:trPr>
          <w:tblHeader w:val="true"/>
        </w:trPr>
        <w:tc>
          <w:tcPr>
            <w:tcW w:type="dxa" w:w="2890"/>
          </w:tcPr>
          <w:p>
            <w:pPr>
              <w:pStyle w:val="Compact"/>
            </w:pPr>
            <w:r>
              <w:rPr>
                <w:b/>
              </w:rPr>
              <w:t xml:space="preserve">Поле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rPr>
                <w:b/>
              </w:rPr>
              <w:t xml:space="preserve">Что записать до сессии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Объект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Версия прототипа или продукта, язык, роль, процесс, начальное и конечное состояние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Потребности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Трудности чтения, запоминания, удержания внимания, понимания терминов, обработки нескольких стимулов или смены контекста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Контекст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Знакомство с услугой, языком, устройством и вспомогательными средствами; привычная помощь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Задача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Нейтральная цель человека, без подсказки названия нужной кнопки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Ключевое понимание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Что человек должен понять до действия: сумму, срок, адресата, обязательство, способ исправить или отменить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Материалы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Безопасные вымышленные данные и состояние, которое можно восстановить для следующего участника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Поддержка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Способ предъявления инструкции, обычные средства пользователя, допустимая помощь и условия остановки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План охвата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Какие потребности представлены, какие отсутствуют, почему выбран такой состав участников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Ответственные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Модератор, наблюдатель, владелец решения и специалист, помогающий адаптировать коммуникацию</w:t>
            </w:r>
          </w:p>
        </w:tc>
      </w:tr>
    </w:tbl>
    <w:p>
      <w:pPr>
        <w:pStyle w:val="BodyText"/>
      </w:pPr>
      <w:r>
        <w:t xml:space="preserve">Набор строят по потребностям, а не по предположению, что диагноз задает одинаковое поведение. Пожилой возраст не означает когнитивное нарушение; наличие РАС или СДВГ не описывает автоматически возможности чтения и принятия решений. Одного участника нельзя объявлять представителем всей группы.</w:t>
      </w:r>
    </w:p>
    <w:p>
      <w:pPr>
        <w:pStyle w:val="BodyText"/>
      </w:pPr>
      <w:r>
        <w:t xml:space="preserve">Универсального достаточного числа участников этот проект не устанавливает. Для качественного пилота важны разнообразие значимых потребностей и повторная проверка изменений. Численность и критерий завершения каждой итерации согласуют заранее. Доли успеха в малой целевой выборке описывают только эту выборку, а не распространенность барьеров среди населения.</w:t>
      </w:r>
    </w:p>
    <w:bookmarkEnd w:id="25"/>
    <w:bookmarkStart w:id="26" w:name="согласие-помощь-и-остановка"/>
    <w:p>
      <w:pPr>
        <w:pStyle w:val="Heading2"/>
      </w:pPr>
      <w:bookmarkStart w:id="1368" w:name="_TocAnchor13_1367"/>
      <w:r>
        <w:t xml:space="preserve">3. Согласие, помощь и остановка</w:t>
      </w:r>
      <w:bookmarkEnd w:id="1368"/>
    </w:p>
    <w:p>
      <w:pPr>
        <w:pStyle w:val="FirstParagraph"/>
      </w:pPr>
      <w:r>
        <w:t xml:space="preserve">До начала участник получает понятное объяснение цели, действий, длительности, записи и использования данных. Ему сообщают, что оценивают сайт, а участие можно прекратить без объяснения. Согласие на участие и согласие на аудио или видео фиксируют отдельно. Если запись не согласована, используют обезличенные заметки.</w:t>
      </w:r>
    </w:p>
    <w:p>
      <w:pPr>
        <w:pStyle w:val="BodyText"/>
      </w:pPr>
      <w:r>
        <w:t xml:space="preserve">Информацию о согласии можно прочитать вслух или представить в удобном формате. Проверяют понимание через просьбу объяснить своими словами, что будет происходить и как остановиться. Это не экзамен. Если человек не может выразить понятное и добровольное решение, сессию не начинают; дальнейший порядок определяет ответственный за исследование с учетом применимых правил и необходимого представительства. Сам факт инвалидности не является основанием считать взрослого человека неспособным дать согласие.</w:t>
      </w:r>
    </w:p>
    <w:p>
      <w:pPr>
        <w:pStyle w:val="BodyText"/>
      </w:pPr>
      <w:r>
        <w:t xml:space="preserve">Компенсация, если предусмотрена, не зависит от успешности выполнения задания. Участник может пользоваться привычным устройством, программой чтения, увеличением, альтернативной коммуникацией и обычной поддержкой. Эти условия описываются в результате.</w:t>
      </w:r>
    </w:p>
    <w:p>
      <w:pPr>
        <w:pStyle w:val="BodyText"/>
      </w:pPr>
      <w:r>
        <w:t xml:space="preserve">Для каждого действия различают: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самостоятельно в согласованных условиях:</w:t>
      </w:r>
      <w:r>
        <w:t xml:space="preserve"> </w:t>
      </w:r>
      <w:r>
        <w:t xml:space="preserve">человек использует обычные средства и доступную на сайте помощь;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 нейтральным повтором:</w:t>
      </w:r>
      <w:r>
        <w:t xml:space="preserve"> </w:t>
      </w:r>
      <w:r>
        <w:t xml:space="preserve">модератор повторил исходную цель, не указав способ решения;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 направляющей помощью:</w:t>
      </w:r>
      <w:r>
        <w:t xml:space="preserve"> </w:t>
      </w:r>
      <w:r>
        <w:t xml:space="preserve">модератор назвал элемент, путь или объяснил содержание сайта;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не завершено:</w:t>
      </w:r>
      <w:r>
        <w:t xml:space="preserve"> </w:t>
      </w:r>
      <w:r>
        <w:t xml:space="preserve">участник остановился, отказался, выбрал иной исход или сработало условие остановки.</w:t>
      </w:r>
    </w:p>
    <w:p>
      <w:pPr>
        <w:pStyle w:val="FirstParagraph"/>
      </w:pPr>
      <w:r>
        <w:t xml:space="preserve">Направляющая помощь не превращается задним числом в самостоятельный успех. Привычная поддержка фиксируется отдельно от подсказок исследователя. Требование постоянно рассуждать вслух необязательно: оно само может увеличить нагрузку. Допустимы паузы и короткие вопросы после действия.</w:t>
      </w:r>
    </w:p>
    <w:p>
      <w:pPr>
        <w:pStyle w:val="BodyText"/>
      </w:pPr>
      <w:r>
        <w:t xml:space="preserve">Сессию останавливают по просьбе участника, при заметном утомлении или дискомфорте, риске раскрытия личных данных, реальной отправки заявления, покупки либо платежа. После остановки предлагают перерыв или завершение, без давления продолжить. В исследовании используют тестовый контур и вымышленные данные.</w:t>
      </w:r>
    </w:p>
    <w:bookmarkEnd w:id="26"/>
    <w:bookmarkStart w:id="27" w:name="проверки-к01к12"/>
    <w:p>
      <w:pPr>
        <w:pStyle w:val="Heading2"/>
      </w:pPr>
      <w:bookmarkStart w:id="1370" w:name="_TocAnchor24_1369"/>
      <w:r>
        <w:t xml:space="preserve">4. Проверки К01–К12</w:t>
      </w:r>
      <w:bookmarkEnd w:id="1370"/>
    </w:p>
    <w:p>
      <w:pPr>
        <w:pStyle w:val="FirstParagraph"/>
      </w:pPr>
      <w:r>
        <w:t xml:space="preserve">Каждое задание применяется только при наличии соответствующей функции. Для неприменимости записывают конкретное основание. До пользовательской сессии эксперт проходит тот же сценарий, устраняет известные технические блокеры и отмечает оставшиеся ограничения. Экспертный прогноз и наблюдение за человеком хранятся раздельно.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2113"/>
        <w:gridCol w:w="3513"/>
        <w:gridCol w:w="4012"/>
      </w:tblGrid>
      <w:tr>
        <w:trPr>
          <w:tblHeader w:val="true"/>
        </w:trPr>
        <w:tc>
          <w:tcPr>
            <w:tcW w:type="dxa" w:w="2113"/>
          </w:tcPr>
          <w:p>
            <w:pPr>
              <w:pStyle w:val="Compact"/>
            </w:pPr>
            <w:r>
              <w:rPr>
                <w:b/>
              </w:rPr>
              <w:t xml:space="preserve">ID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rPr>
                <w:b/>
              </w:rPr>
              <w:t xml:space="preserve">Что подготовить и предложить человеку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rPr>
                <w:b/>
              </w:rPr>
              <w:t xml:space="preserve">Что наблюдать и фиксировать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К01. Назначение услуги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Показать стартовую страницу без экскурсии. Предложить выяснить, подходит ли услуга для заданной ситуации и что потребуется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Может ли человек найти условия и объяснить назначение; какие слова или элементы создали неверное ожидание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К02. Смысл обозначений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Выбрать значимые кнопки и термины. Перед безопасным действием попросить предположить, что произойдет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Совпадение ожидания с действием; неоднозначные подписи; необходимость угадывать значение иконки или метафоры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К03. Ориентация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Дать многошаговую задачу, затем предложить вернуться к предыдущему решению и продолжить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Понимание текущего шага, оставшихся действий и сохраненного результата; потеря места после возврата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К04. Нагрузка на память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Предложить заполнить форму по тестовым сведениям и позднее изменить одно значение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Что приходится помнить, переписывать или искать повторно; доступность просмотра и исправления введенного; возможность использовать заметки и вставку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К05. Внимание и стимулы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Выбрать экран с необязательным движением, всплывающим сообщением или несколькими задачами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Сбивает ли стимул с цели; удается ли остановить или скрыть его; сохраняется ли понятный путь после закрытия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К06. Темп и прерывание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В согласованный момент сделать паузу и вернуться к задаче. Если есть таймер, отдельно проверить его предупреждение на тестовом контуре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Понимание ограничения времени, продления и восстановления; место потери информации; возможность продолжить без повторного сложного ввода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К07. Ошибка и восстановление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В безопасной форме использовать заранее заданное ошибочное значение, затем предложить исправить проблему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Понимает ли человек причину и нужное изменение; находит ли поле; сохраняются ли корректные сведения; не возникает ли новый цикл ошибок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К08. Последствия решения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Перед условной отправкой или оплатой предложить проверить итог и объяснить, что будет принято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Правильное понимание суммы, адресата, срока и обязательства; наличие реального пути исправления и отмены; расхождение между внешним видом и последствиями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К09. Вход и восстановление доступа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На тестовой учетной записи пройти вход и сценарий забытого секрета, сохранив привычные средства пользователя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Требования к запоминанию, переписыванию кодов или решению задачи; понятность переключения каналов; поддержка вставки и менеджера паролей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К10. Помощь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Предложить найти ответ на вопрос по ходу процесса, получить помощь и продолжить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Находится ли помощь в нужном месте; подходит ли канал коммуникации; сохраняется ли контекст задачи после обращения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К11. Настройки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Предложить применить нужную человеку настройку текста, движения или представления, если она есть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Найдена ли настройка, понятен ли эффект, сохраняется ли он; не становится ли выбор настроек дополнительным барьером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К12. Понятность текста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Дать важный текст и попросить объяснить его смысл и следующий шаг своими словами; затем решить задачу по этому тексту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Ошибки смысла, неясные термины и условия; пропущенные последствия; различие между простым пересказом и правильным применением</w:t>
            </w:r>
          </w:p>
        </w:tc>
      </w:tr>
    </w:tbl>
    <w:p>
      <w:pPr>
        <w:pStyle w:val="BodyText"/>
      </w:pPr>
      <w:r>
        <w:t xml:space="preserve">Для К08 перечень существенных сведений заранее проверяет владелец услуги, а при необходимости профильный специалист. Упрощение текста не должно скрывать стоимость, срок, ограничения и последствия. Не требуется воспроизводить формулировку дословно: оценивается смысл, нужный для решения.</w:t>
      </w:r>
    </w:p>
    <w:p>
      <w:pPr>
        <w:pStyle w:val="BodyText"/>
      </w:pPr>
      <w:r>
        <w:t xml:space="preserve">Для К12 рассчитываемая автоматически «читаемость» может быть вспомогательным сигналом. Она не является доказательством понимания. Задания используют текст, который человек еще не выучил в ходе совместной редакции. В повторной итерации полезно сочетать повторных участников и людей, не видевших предыдущую версию, явно различая их результаты.</w:t>
      </w:r>
    </w:p>
    <w:bookmarkEnd w:id="27"/>
    <w:bookmarkStart w:id="28" w:name="карточка-наблюдения"/>
    <w:p>
      <w:pPr>
        <w:pStyle w:val="Heading2"/>
      </w:pPr>
      <w:bookmarkStart w:id="1372" w:name="_TocAnchor28_1371"/>
      <w:r>
        <w:t xml:space="preserve">5. Карточка наблюдения</w:t>
      </w:r>
      <w:bookmarkEnd w:id="1372"/>
    </w:p>
    <w:p>
      <w:pPr>
        <w:pStyle w:val="SourceCode"/>
      </w:pPr>
      <w:r>
        <w:rPr>
          <w:rStyle w:val="VerbatimChar"/>
        </w:rPr>
        <w:t xml:space="preserve">Исследование / версия протокола:</w:t>
      </w:r>
      <w:r>
        <w:br/>
      </w:r>
      <w:r>
        <w:rPr>
          <w:rStyle w:val="VerbatimChar"/>
        </w:rPr>
        <w:t xml:space="preserve">Участник: обезличенный код</w:t>
      </w:r>
      <w:r>
        <w:br/>
      </w:r>
      <w:r>
        <w:rPr>
          <w:rStyle w:val="VerbatimChar"/>
        </w:rPr>
        <w:t xml:space="preserve">Согласованные условия и привычная поддержка:</w:t>
      </w:r>
      <w:r>
        <w:br/>
      </w:r>
      <w:r>
        <w:rPr>
          <w:rStyle w:val="VerbatimChar"/>
        </w:rPr>
        <w:t xml:space="preserve">Объект / версия / роль / состояние:</w:t>
      </w:r>
      <w:r>
        <w:br/>
      </w:r>
      <w:r>
        <w:rPr>
          <w:rStyle w:val="VerbatimChar"/>
        </w:rPr>
        <w:t xml:space="preserve">Потребность и контекст, существенные для задания:</w:t>
      </w:r>
      <w:r>
        <w:br/>
      </w:r>
      <w:r>
        <w:rPr>
          <w:rStyle w:val="VerbatimChar"/>
        </w:rPr>
        <w:t xml:space="preserve">Проверка К01–К12:</w:t>
      </w:r>
      <w:r>
        <w:br/>
      </w:r>
      <w:r>
        <w:rPr>
          <w:rStyle w:val="VerbatimChar"/>
        </w:rPr>
        <w:t xml:space="preserve">Нейтральная формулировка задания:</w:t>
      </w:r>
      <w:r>
        <w:br/>
      </w:r>
      <w:r>
        <w:rPr>
          <w:rStyle w:val="VerbatimChar"/>
        </w:rPr>
        <w:t xml:space="preserve">Заранее определенные ключевые сведения и ожидаемый исход:</w:t>
      </w:r>
      <w:r>
        <w:br/>
      </w:r>
      <w:r>
        <w:rPr>
          <w:rStyle w:val="VerbatimChar"/>
        </w:rPr>
        <w:t xml:space="preserve">Тестовые данные:</w:t>
      </w:r>
      <w:r>
        <w:br/>
      </w:r>
      <w:r>
        <w:rPr>
          <w:rStyle w:val="VerbatimChar"/>
        </w:rPr>
        <w:t xml:space="preserve">Действия и точка затруднения:</w:t>
      </w:r>
      <w:r>
        <w:br/>
      </w:r>
      <w:r>
        <w:rPr>
          <w:rStyle w:val="VerbatimChar"/>
        </w:rPr>
        <w:t xml:space="preserve">Объяснение участника своими словами:</w:t>
      </w:r>
      <w:r>
        <w:br/>
      </w:r>
      <w:r>
        <w:rPr>
          <w:rStyle w:val="VerbatimChar"/>
        </w:rPr>
        <w:t xml:space="preserve">Помощь: обычная / повтор инструкции / направляющая</w:t>
      </w:r>
      <w:r>
        <w:br/>
      </w:r>
      <w:r>
        <w:rPr>
          <w:rStyle w:val="VerbatimChar"/>
        </w:rPr>
        <w:t xml:space="preserve">Исход: самостоятельно / с повтором / с помощью / не завершено</w:t>
      </w:r>
      <w:r>
        <w:br/>
      </w:r>
      <w:r>
        <w:rPr>
          <w:rStyle w:val="VerbatimChar"/>
        </w:rPr>
        <w:t xml:space="preserve">Причина остановки или отказа, если была:</w:t>
      </w:r>
      <w:r>
        <w:br/>
      </w:r>
      <w:r>
        <w:rPr>
          <w:rStyle w:val="VerbatimChar"/>
        </w:rPr>
        <w:t xml:space="preserve">Доказательство: обезличенная заметка, согласованная запись, состояние</w:t>
      </w:r>
      <w:r>
        <w:br/>
      </w:r>
      <w:r>
        <w:rPr>
          <w:rStyle w:val="VerbatimChar"/>
        </w:rPr>
        <w:t xml:space="preserve">Интерпретация и возможные альтернативные объяснения:</w:t>
      </w:r>
      <w:r>
        <w:br/>
      </w:r>
      <w:r>
        <w:rPr>
          <w:rStyle w:val="VerbatimChar"/>
        </w:rPr>
        <w:t xml:space="preserve">Связанный технический критерий, если нарушение отдельно подтверждено:</w:t>
      </w:r>
      <w:r>
        <w:br/>
      </w:r>
      <w:r>
        <w:rPr>
          <w:rStyle w:val="VerbatimChar"/>
        </w:rPr>
        <w:t xml:space="preserve">Предложение изменения:</w:t>
      </w:r>
      <w:r>
        <w:br/>
      </w:r>
      <w:r>
        <w:rPr>
          <w:rStyle w:val="VerbatimChar"/>
        </w:rPr>
        <w:t xml:space="preserve">Владелец / срок / повторная проверка:</w:t>
      </w:r>
    </w:p>
    <w:p>
      <w:pPr>
        <w:pStyle w:val="FirstParagraph"/>
      </w:pPr>
      <w:r>
        <w:t xml:space="preserve">Время выполнения фиксируют только вместе с паузами, помощью и условиями. Медленное выполнение не признается дефектом само по себе. Объяснение участника не следует заменять догадкой наблюдателя. Если причина может заключаться в незнакомой услуге, формулировке задания или непривычном устройстве, это отражают как альтернативное объяснение и планируют проверку.</w:t>
      </w:r>
    </w:p>
    <w:bookmarkEnd w:id="28"/>
    <w:bookmarkStart w:id="29" w:name="правила-решения"/>
    <w:p>
      <w:pPr>
        <w:pStyle w:val="Heading2"/>
      </w:pPr>
      <w:bookmarkStart w:id="1374" w:name="_TocAnchor31_1373"/>
      <w:r>
        <w:t xml:space="preserve">6. Правила решения</w:t>
      </w:r>
      <w:bookmarkEnd w:id="1374"/>
    </w:p>
    <w:p>
      <w:pPr>
        <w:pStyle w:val="FirstParagraph"/>
      </w:pPr>
      <w:r>
        <w:t xml:space="preserve">Для каждой значимой задачи составляют матрицу участников и исходов. Отдельно показывают необратимые или опасные недопонимания, прекращение задачи, направляющую помощь и самостоятельное завершение. Не объединяют людей с разными потребностями в один средний «процент когнитивной доступности».</w:t>
      </w:r>
    </w:p>
    <w:p>
      <w:pPr>
        <w:pStyle w:val="BodyText"/>
      </w:pPr>
      <w:r>
        <w:rPr>
          <w:b/>
          <w:bCs/>
        </w:rPr>
        <w:t xml:space="preserve">Проектный стоп-фактор:</w:t>
      </w:r>
      <w:r>
        <w:t xml:space="preserve"> </w:t>
      </w:r>
      <w:r>
        <w:t xml:space="preserve">воспроизводимый барьер в основном сценарии, из-за которого участник не может закончить задачу или неверно понимает существенное последствие, требует разбора до приемки. Один случай может быть достаточным сигналом серьезного риска, но не оценкой его распространенности. Решение о выпуске принимает владелец услуги на основании описанного риска и проверенных вариантов исправления. Наличие альтернативного канала само по себе не подтверждает соответствие сайта WCAG.</w:t>
      </w:r>
    </w:p>
    <w:p>
      <w:pPr>
        <w:pStyle w:val="BodyText"/>
      </w:pPr>
      <w:r>
        <w:t xml:space="preserve">Для остальных находок задают конкретное изменение и ожидаемый эффект. Повтор проверяет исходный сценарий, новое объяснение и последствия для соседних шагов. Если исправление меняет текст, последовательность либо модель взаимодействия, простого подтверждения закрытия задачи разработчиком недостаточно.</w:t>
      </w:r>
    </w:p>
    <w:p>
      <w:pPr>
        <w:pStyle w:val="BodyText"/>
      </w:pPr>
      <w:r>
        <w:t xml:space="preserve">Допустимый вывод: «В версии X четыре участника с указанными потребностями самостоятельно завершили задачу T; двоим потребовалось объяснение термина Y. Наблюдение требует изменения текста и повторной проверки». Числа в этой фразе являются примером оформления, не результатом проведенного исследования.</w:t>
      </w:r>
    </w:p>
    <w:p>
      <w:pPr>
        <w:pStyle w:val="BodyText"/>
      </w:pPr>
      <w:r>
        <w:t xml:space="preserve">Недопустимые выводы: «сайт когнитивно доступен всем», «соответствие WCAG подтверждено пользователями», «80% доступности» без определения предмета и знаменателя. Отсутствие замечаний в малой выборке означает только отсутствие выявленных проблем при данных условиях.</w:t>
      </w:r>
    </w:p>
    <w:bookmarkEnd w:id="29"/>
    <w:bookmarkStart w:id="30" w:name="хранение-и-передача-результатов"/>
    <w:p>
      <w:pPr>
        <w:pStyle w:val="Heading2"/>
      </w:pPr>
      <w:bookmarkStart w:id="1376" w:name="_TocAnchor37_1375"/>
      <w:r>
        <w:t xml:space="preserve">7. Хранение и передача результатов</w:t>
      </w:r>
      <w:bookmarkEnd w:id="1376"/>
    </w:p>
    <w:p>
      <w:pPr>
        <w:pStyle w:val="FirstParagraph"/>
      </w:pPr>
      <w:r>
        <w:t xml:space="preserve">В рабочем плане заранее задают владельца данных, разрешенный круг доступа, место хранения и конкретную дату удаления либо пересмотра срока. Публичный отчет содержит обезличенные результаты. Диагнозы, контакты, учетные данные, запись согласия и исследовательские наблюдения не объединяют в общедоступном реестре дефектов.</w:t>
      </w:r>
    </w:p>
    <w:p>
      <w:pPr>
        <w:pStyle w:val="BodyText"/>
      </w:pPr>
      <w:r>
        <w:t xml:space="preserve">Итог передают как перечень проверенных задач, состава потребностей, условий, наблюдений, ограничений, решений и плана повторной проверки. Исправленные технические дефекты и изменения понятности имеют связанные, но отдельные результаты приемки.</w:t>
      </w:r>
    </w:p>
    <w:bookmarkEnd w:id="30"/>
    <w:sectPr>
      <w:footerReference r:id="rId9" w:type="default"/>
      <w:footnotePr>
        <w:numRestart w:val="eachSect"/>
      </w:footnotePr>
      <w:pgSz w:h="16838" w:w="11906"/>
      <w:pgMar w:bottom="1134" w:footer="709" w:header="709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20"/>
      </w:rPr>
      <w:fldChar w:fldCharType="begin"/>
    </w:r>
    <w:r>
      <w:rPr>
        <w:rFonts w:ascii="Arial" w:hAnsi="Arial"/>
        <w:sz w:val="20"/>
      </w:rPr>
      <w:instrText xml:space="preserve"> PAGE  \* MERGEFORMAT </w:instrText>
    </w:r>
    <w:r>
      <w:rPr>
        <w:rFonts w:ascii="Arial" w:hAnsi="Arial"/>
        <w:sz w:val="20"/>
      </w:rPr>
      <w:fldChar w:fldCharType="separate"/>
    </w:r>
    <w:r>
      <w:rPr>
        <w:rFonts w:ascii="Arial" w:hAnsi="Arial"/>
        <w:sz w:val="20"/>
      </w:rPr>
      <w:t>1</w:t>
    </w:r>
    <w:r>
      <w:rPr>
        <w:rFonts w:ascii="Arial" w:hAnsi="Arial"/>
        <w:sz w:val="20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updateFields w:val="true"/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Arial" w:hAnsi="Arial"/>
        <w:sz w:val="24"/>
        <w:szCs w:val="24"/>
        <w:lang w:bidi="ar-SA" w:eastAsia="ru-RU" w:val="ru-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Arial" w:cs="Arial" w:eastAsia="Arial" w:hAnsi="Arial"/>
      <w:sz w:val="22"/>
      <w:lang w:bidi="ar-SA" w:eastAsia="ru-RU" w:val="ru-RU"/>
    </w:rPr>
  </w:style>
  <w:style w:styleId="BodyText" w:type="paragraph">
    <w:name w:val="Body Text"/>
    <w:basedOn w:val="Normal"/>
    <w:link w:val="BodyTextChar"/>
    <w:qFormat/>
    <w:pPr>
      <w:spacing w:after="120" w:before="18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FirstParagraph" w:type="paragraph">
    <w:name w:val="First Paragraph"/>
    <w:basedOn w:val="BodyText"/>
    <w:next w:val="BodyText"/>
    <w:qFormat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Compact" w:type="paragraph">
    <w:name w:val="Compact"/>
    <w:basedOn w:val="BodyText"/>
    <w:qFormat/>
    <w:pPr>
      <w:spacing w:after="120" w:before="36" w:line="276" w:lineRule="auto"/>
    </w:pPr>
    <w:rPr>
      <w:rFonts w:ascii="Arial" w:cs="Arial" w:eastAsia="Arial" w:hAnsi="Arial"/>
      <w:sz w:val="22"/>
      <w:lang w:bidi="ar-SA" w:eastAsia="ru-RU" w:val="ru-RU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line="240" w:lineRule="auto"/>
      <w:contextualSpacing/>
      <w:jc w:val="center"/>
    </w:pPr>
    <w:rPr>
      <w:rFonts w:ascii="Arial" w:cs="Arial" w:eastAsia="Arial" w:hAnsi="Arial"/>
      <w:b/>
      <w:color w:val="12233B"/>
      <w:sz w:val="52"/>
      <w:szCs w:val="56"/>
      <w:lang w:bidi="ar-SA" w:eastAsia="ru-RU" w:val="ru-RU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40"/>
      <w:jc w:val="center"/>
    </w:pPr>
    <w:rPr>
      <w:rFonts w:ascii="Arial" w:cs="Arial" w:eastAsia="Arial" w:hAnsi="Arial"/>
      <w:b w:val="0"/>
      <w:color w:val="12233B"/>
      <w:spacing w:val="15"/>
      <w:sz w:val="28"/>
      <w:szCs w:val="28"/>
      <w:lang w:bidi="ar-SA" w:eastAsia="ru-RU" w:val="ru-RU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  <w:jc w:val="center"/>
    </w:pPr>
    <w:rPr>
      <w:rFonts w:ascii="Arial" w:cs="Arial" w:eastAsia="Arial" w:hAnsi="Arial"/>
      <w:sz w:val="24"/>
      <w:szCs w:val="24"/>
      <w:lang w:bidi="ar-SA" w:eastAsia="ru-RU" w:val="ru-RU"/>
    </w:rPr>
  </w:style>
  <w:style w:styleId="Date" w:type="paragraph">
    <w:name w:val="Date"/>
    <w:basedOn w:val="Title"/>
    <w:next w:val="BodyText"/>
    <w:qFormat/>
    <w:pPr>
      <w:keepNext/>
      <w:keepLines/>
      <w:spacing w:after="480"/>
      <w:jc w:val="center"/>
    </w:pPr>
    <w:rPr>
      <w:rFonts w:ascii="Arial" w:cs="Arial" w:eastAsia="Arial" w:hAnsi="Arial"/>
      <w:b w:val="0"/>
      <w:color w:val="404040"/>
      <w:sz w:val="24"/>
      <w:szCs w:val="24"/>
      <w:lang w:bidi="ar-SA" w:eastAsia="ru-RU" w:val="ru-RU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120" w:before="240" w:line="276" w:lineRule="auto"/>
      <w:outlineLvl w:val="0"/>
    </w:pPr>
    <w:rPr>
      <w:rFonts w:ascii="Arial" w:cs="Arial" w:eastAsia="Arial" w:hAnsi="Arial"/>
      <w:b/>
      <w:color w:val="12233B"/>
      <w:sz w:val="32"/>
      <w:szCs w:val="40"/>
      <w:lang w:bidi="ar-SA" w:eastAsia="ru-RU" w:val="ru-RU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20" w:before="240" w:line="276" w:lineRule="auto"/>
      <w:outlineLvl w:val="1"/>
    </w:pPr>
    <w:rPr>
      <w:rFonts w:ascii="Arial" w:cs="Arial" w:eastAsia="Arial" w:hAnsi="Arial"/>
      <w:b/>
      <w:color w:val="12233B"/>
      <w:sz w:val="28"/>
      <w:szCs w:val="32"/>
      <w:lang w:bidi="ar-SA" w:eastAsia="ru-RU" w:val="ru-RU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20" w:before="240" w:line="276" w:lineRule="auto"/>
      <w:outlineLvl w:val="2"/>
    </w:pPr>
    <w:rPr>
      <w:rFonts w:ascii="Arial" w:cs="Arial" w:eastAsia="Arial" w:hAnsi="Arial"/>
      <w:b/>
      <w:color w:val="12233B"/>
      <w:sz w:val="24"/>
      <w:szCs w:val="28"/>
      <w:lang w:bidi="ar-SA" w:eastAsia="ru-RU" w:val="ru-RU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3"/>
    </w:pPr>
    <w:rPr>
      <w:rFonts w:ascii="Arial" w:cs="Arial" w:eastAsia="Arial" w:hAnsi="Arial"/>
      <w:b/>
      <w:i/>
      <w:iCs/>
      <w:color w:val="12233B"/>
      <w:sz w:val="24"/>
      <w:lang w:bidi="ar-SA" w:eastAsia="ru-RU" w:val="ru-RU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4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5"/>
    </w:pPr>
    <w:rPr>
      <w:rFonts w:ascii="Arial" w:cs="Arial" w:eastAsia="Arial" w:hAnsi="Arial"/>
      <w:b/>
      <w:i/>
      <w:iCs/>
      <w:color w:val="12233B"/>
      <w:sz w:val="22"/>
      <w:lang w:bidi="ar-SA" w:eastAsia="ru-RU" w:val="ru-RU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6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7"/>
    </w:pPr>
    <w:rPr>
      <w:rFonts w:ascii="Arial" w:cs="Arial" w:eastAsia="Arial" w:hAnsi="Arial"/>
      <w:b/>
      <w:i/>
      <w:iCs/>
      <w:color w:val="12233B"/>
      <w:sz w:val="22"/>
      <w:lang w:bidi="ar-SA" w:eastAsia="ru-RU" w:val="ru-RU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8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20" w:before="100" w:line="276" w:lineRule="auto"/>
      <w:ind w:firstLine="0" w:left="480" w:right="480"/>
    </w:pPr>
    <w:rPr>
      <w:rFonts w:ascii="Arial" w:cs="Arial" w:eastAsia="Arial" w:hAnsi="Arial"/>
      <w:sz w:val="22"/>
      <w:lang w:bidi="ar-SA" w:eastAsia="ru-RU" w:val="ru-RU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pPr>
      <w:spacing w:after="60" w:line="276" w:lineRule="auto"/>
    </w:pPr>
    <w:rPr>
      <w:rFonts w:ascii="Arial" w:cs="Arial" w:eastAsia="Arial" w:hAnsi="Arial"/>
      <w:sz w:val="22"/>
      <w:lang w:bidi="ar-SA" w:eastAsia="ru-RU" w:val="ru-RU"/>
    </w:rPr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999999" w:space="0" w:sz="4" w:val="single"/>
        <w:left w:color="999999" w:space="0" w:sz="4" w:val="single"/>
        <w:bottom w:color="999999" w:space="0" w:sz="4" w:val="single"/>
        <w:right w:color="999999" w:space="0" w:sz="4" w:val="single"/>
        <w:insideH w:color="999999" w:space="0" w:sz="4" w:val="single"/>
        <w:insideV w:color="999999" w:space="0" w:sz="4" w:val="single"/>
      </w:tblBorders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120" w:line="276" w:lineRule="auto"/>
    </w:pPr>
    <w:rPr>
      <w:rFonts w:ascii="Arial" w:cs="Arial" w:eastAsia="Arial" w:hAnsi="Arial"/>
      <w:b/>
      <w:sz w:val="22"/>
      <w:lang w:bidi="ar-SA" w:eastAsia="ru-RU" w:val="ru-RU"/>
    </w:rPr>
  </w:style>
  <w:style w:customStyle="1" w:styleId="Definition" w:type="paragraph">
    <w:name w:val="Definition"/>
    <w:basedOn w:val="Normal"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styleId="Caption" w:type="paragraph">
    <w:name w:val="Caption"/>
    <w:basedOn w:val="Normal"/>
    <w:link w:val="BodyTextChar"/>
    <w:pPr>
      <w:spacing w:after="120" w:before="0" w:line="276" w:lineRule="auto"/>
    </w:pPr>
    <w:rPr>
      <w:rFonts w:ascii="Arial" w:cs="Arial" w:eastAsia="Arial" w:hAnsi="Arial"/>
      <w:i/>
      <w:sz w:val="22"/>
      <w:lang w:bidi="ar-SA" w:eastAsia="ru-RU" w:val="ru-RU"/>
    </w:rPr>
  </w:style>
  <w:style w:customStyle="1" w:styleId="TableCaption" w:type="paragraph">
    <w:name w:val="Table Caption"/>
    <w:basedOn w:val="Caption"/>
    <w:pPr>
      <w:keepNext/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ImageCaption" w:type="paragraph">
    <w:name w:val="Image Caption"/>
    <w:basedOn w:val="Caption"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Arial" w:cs="Arial" w:eastAsia="Arial" w:hAnsi="Arial"/>
      <w:color w:val="004A8F"/>
      <w:sz w:val="22"/>
      <w:lang w:bidi="ar-SA" w:eastAsia="ru-RU" w:val="ru-RU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cs="Arial" w:eastAsia="Arial" w:hAnsi="Arial"/>
      <w:b/>
      <w:bCs w:val="0"/>
      <w:color w:val="12233B"/>
      <w:sz w:val="28"/>
      <w:lang w:bidi="ar-SA" w:eastAsia="ru-RU" w:val="ru-RU"/>
    </w:rPr>
  </w:style>
  <w:style w:customStyle="1" w:styleId="TOC1" w:type="paragraph">
    <w:name w:val="TOC 1"/>
    <w:basedOn w:val="Normal"/>
    <w:pPr>
      <w:spacing w:after="40" w:before="0" w:line="276" w:lineRule="auto"/>
      <w:ind w:left="0"/>
    </w:pPr>
    <w:rPr>
      <w:rFonts w:ascii="Arial" w:cs="Arial" w:eastAsia="Arial" w:hAnsi="Arial"/>
      <w:b/>
      <w:sz w:val="22"/>
      <w:lang w:bidi="ar-SA" w:eastAsia="ru-RU" w:val="ru-RU"/>
    </w:rPr>
    <w:tabs>
      <w:tab w:leader="dot" w:pos="9638" w:val="right"/>
    </w:tabs>
  </w:style>
  <w:style w:customStyle="1" w:styleId="TOC2" w:type="paragraph">
    <w:name w:val="TOC 2"/>
    <w:basedOn w:val="Normal"/>
    <w:pPr>
      <w:spacing w:after="40" w:before="0" w:line="276" w:lineRule="auto"/>
      <w:ind w:left="283"/>
    </w:pPr>
    <w:rPr>
      <w:rFonts w:ascii="Arial" w:cs="Arial" w:eastAsia="Arial" w:hAnsi="Arial"/>
      <w:b w:val="0"/>
      <w:sz w:val="22"/>
      <w:lang w:bidi="ar-SA" w:eastAsia="ru-RU" w:val="ru-RU"/>
    </w:rPr>
    <w:tabs>
      <w:tab w:leader="dot" w:pos="9638" w:val="right"/>
    </w:tabs>
  </w:style>
  <w:style w:customStyle="1" w:styleId="TOC3" w:type="paragraph">
    <w:name w:val="TOC 3"/>
    <w:basedOn w:val="Normal"/>
    <w:pPr>
      <w:spacing w:after="40" w:before="0" w:line="276" w:lineRule="auto"/>
      <w:ind w:left="567"/>
    </w:pPr>
    <w:rPr>
      <w:rFonts w:ascii="Arial" w:cs="Arial" w:eastAsia="Arial" w:hAnsi="Arial"/>
      <w:b w:val="0"/>
      <w:sz w:val="22"/>
      <w:lang w:bidi="ar-SA" w:eastAsia="ru-RU" w:val="ru-RU"/>
    </w:rPr>
    <w:tabs>
      <w:tab w:leader="dot" w:pos="9638" w:val="right"/>
    </w:tabs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7" Type="http://schemas.openxmlformats.org/officeDocument/2006/relationships/numbering" Target="numbering.xml"/><Relationship Id="rId16" Type="http://schemas.openxmlformats.org/officeDocument/2006/relationships/styles" Target="styles.xml"/><Relationship Id="rId15" Type="http://schemas.openxmlformats.org/officeDocument/2006/relationships/settings" Target="settings.xml"/><Relationship Id="rId14" Type="http://schemas.openxmlformats.org/officeDocument/2006/relationships/webSettings" Target="webSettings.xml"/><Relationship Id="rId13" Type="http://schemas.openxmlformats.org/officeDocument/2006/relationships/fontTable" Target="fontTable.xml"/><Relationship Id="rId12" Type="http://schemas.openxmlformats.org/officeDocument/2006/relationships/theme" Target="theme/theme1.xml"/><Relationship Id="rId11" Type="http://schemas.openxmlformats.org/officeDocument/2006/relationships/footnotes" Target="footnotes.xml"/><Relationship Id="rId10" Type="http://schemas.openxmlformats.org/officeDocument/2006/relationships/comments" Target="comments.xml"/><Relationship Id="rId9" Type="http://schemas.openxmlformats.org/officeDocument/2006/relationships/footer" Target="footer1.xml"/><Relationship Id="rId22" Type="http://schemas.openxmlformats.org/officeDocument/2006/relationships/hyperlink" Target="https://protect.gost.ru/gost/details/cb967146-1714-4f81-9f93-86c2ddd9c9d0" TargetMode="External"/><Relationship Id="rId23" Type="http://schemas.openxmlformats.org/officeDocument/2006/relationships/hyperlink" Target="https://www.uutilsynet.no/regelverk/brukertesting-med-funksjonshemmede/193" TargetMode="External"/><Relationship Id="rId20" Type="http://schemas.openxmlformats.org/officeDocument/2006/relationships/hyperlink" Target="https://www.w3.org/TR/coga-usable/" TargetMode="External"/><Relationship Id="rId21" Type="http://schemas.openxmlformats.org/officeDocument/2006/relationships/hyperlink" Target="https://www.w3.org/WAI/test-evaluate/involving-users/" TargetMode="External"/><Relationship Id="rId19" Type="http://schemas.openxmlformats.org/officeDocument/2006/relationships/hyperlink" Target="metodika-ocenki.docx" TargetMode="External"/><Relationship Id="rId18" Type="http://schemas.openxmlformats.org/officeDocument/2006/relationships/hyperlink" Target="metodika-razrabotki.docx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https://protect.gost.ru/gost/details/cb967146-1714-4f81-9f93-86c2ddd9c9d0" TargetMode="External"/><Relationship Id="rId23" Type="http://schemas.openxmlformats.org/officeDocument/2006/relationships/hyperlink" Target="https://www.uutilsynet.no/regelverk/brukertesting-med-funksjonshemmede/193" TargetMode="External"/><Relationship Id="rId20" Type="http://schemas.openxmlformats.org/officeDocument/2006/relationships/hyperlink" Target="https://www.w3.org/TR/coga-usable/" TargetMode="External"/><Relationship Id="rId21" Type="http://schemas.openxmlformats.org/officeDocument/2006/relationships/hyperlink" Target="https://www.w3.org/WAI/test-evaluate/involving-users/" TargetMode="External"/><Relationship Id="rId19" Type="http://schemas.openxmlformats.org/officeDocument/2006/relationships/hyperlink" Target="&#1052;&#1077;&#1090;&#1086;&#1076;&#1086;&#1083;&#1086;&#1075;&#1080;&#1103;_&#1086;&#1094;&#1077;&#1085;&#1082;&#1080;_&#1076;&#1086;&#1089;&#1090;&#1091;&#1087;&#1085;&#1086;&#1089;&#1090;&#1080;_&#1089;&#1072;&#1081;&#1090;&#1086;&#1074;.docx" TargetMode="External"/><Relationship Id="rId18" Type="http://schemas.openxmlformats.org/officeDocument/2006/relationships/hyperlink" Target="&#1052;&#1077;&#1090;&#1086;&#1076;&#1086;&#1083;&#1086;&#1075;&#1080;&#1103;_&#1088;&#1072;&#1079;&#1088;&#1072;&#1073;&#1086;&#1090;&#1082;&#1080;_&#1076;&#1086;&#1089;&#1090;&#1091;&#1087;&#1085;&#1099;&#1093;_&#1089;&#1072;&#1081;&#1090;&#1086;&#1074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понятности и когнитивной доступности сайта</dc:title>
  <dc:creator/>
  <dc:language>ru-RU</dc:language>
  <cp:keywords/>
  <dcterms:created xsi:type="dcterms:W3CDTF">2026-09-13T17:49:58Z</dcterms:created>
  <dcterms:modified xsi:type="dcterms:W3CDTF">2026-09-13T17:49:58Z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Сентябрь 2026 года</vt:lpwstr>
  </property>
  <property fmtid="{D5CDD505-2E9C-101B-9397-08002B2CF9AE}" pid="3" name="subtitle">
    <vt:lpwstr>Проект для обсуждения. Редакция 0.2</vt:lpwstr>
  </property>
</Properties>
</file>