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Методология оценки доступности сайтов</w:t>
      </w:r>
    </w:p>
    <w:p>
      <w:pPr>
        <w:pStyle w:val="Subtitle"/>
      </w:pPr>
      <w:r>
        <w:t xml:space="preserve">Проект для обсуждения. Редакция 0.2</w:t>
      </w:r>
    </w:p>
    <w:p>
      <w:pPr>
        <w:pStyle w:val="Date"/>
      </w:pPr>
      <w:r>
        <w:t xml:space="preserve">Сентябрь 2026 года</w:t>
      </w:r>
    </w:p>
    <w:sdt>
      <w:sdtPr>
        <w:docPartObj>
          <w:docPartGallery w:val="Table of Contents"/>
          <w:docPartUnique/>
        </w:docPartObj>
      </w:sdtPr>
      <w:sdtContent>
        <w:p>
          <w:pPr>
            <w:pStyle w:val="TOCHeading"/>
          </w:pPr>
          <w:r>
            <w:t xml:space="preserve">Оглавление</w:t>
          </w:r>
        </w:p>
        <w:p>
          <w:r>
            <w:fldChar w:fldCharType="begin"/>
          </w:r>
          <w:r>
            <w:instrText xml:space="preserve">TOC \o "1-3" \h \z \u</w:instrText>
          </w:r>
          <w:r>
            <w:fldChar w:fldCharType="separate"/>
          </w:r>
        </w:p>
        <w:p>
          <w:pPr>
            <w:pStyle w:val="TOC2"/>
            <w:tabs>
              <w:tab w:val="right" w:leader="dot" w:pos="9638"/>
            </w:tabs>
          </w:pPr>
          <w:hyperlink w:anchor="_TocAnchor5_1247" w:history="1">
            <w:r>
              <w:t xml:space="preserve">1. Назначение и принцип оценки</w:t>
            </w:r>
          </w:hyperlink>
          <w:r>
            <w:tab/>
            <w:t>2</w:t>
          </w:r>
        </w:p>
        <w:p>
          <w:pPr>
            <w:pStyle w:val="TOC2"/>
            <w:tabs>
              <w:tab w:val="right" w:leader="dot" w:pos="9638"/>
            </w:tabs>
          </w:pPr>
          <w:hyperlink w:anchor="_TocAnchor15_1249" w:history="1">
            <w:r>
              <w:t xml:space="preserve">2. Версии методических источников</w:t>
            </w:r>
          </w:hyperlink>
          <w:r>
            <w:tab/>
            <w:t>2</w:t>
          </w:r>
        </w:p>
        <w:p>
          <w:pPr>
            <w:pStyle w:val="TOC3"/>
            <w:tabs>
              <w:tab w:val="right" w:leader="dot" w:pos="9638"/>
            </w:tabs>
          </w:pPr>
          <w:hyperlink w:anchor="_TocAnchor20_1251" w:history="1">
            <w:r>
              <w:t xml:space="preserve">2.1. Российский профиль</w:t>
            </w:r>
          </w:hyperlink>
          <w:r>
            <w:tab/>
            <w:t>3</w:t>
          </w:r>
        </w:p>
        <w:p>
          <w:pPr>
            <w:pStyle w:val="TOC2"/>
            <w:tabs>
              <w:tab w:val="right" w:leader="dot" w:pos="9638"/>
            </w:tabs>
          </w:pPr>
          <w:hyperlink w:anchor="_TocAnchor24_1253" w:history="1">
            <w:r>
              <w:t xml:space="preserve">3. Паспорт области оценки</w:t>
            </w:r>
          </w:hyperlink>
          <w:r>
            <w:tab/>
            <w:t>3</w:t>
          </w:r>
        </w:p>
        <w:p>
          <w:pPr>
            <w:pStyle w:val="TOC2"/>
            <w:tabs>
              <w:tab w:val="right" w:leader="dot" w:pos="9638"/>
            </w:tabs>
          </w:pPr>
          <w:hyperlink w:anchor="_TocAnchor42_1255" w:history="1">
            <w:r>
              <w:t xml:space="preserve">4. Исследование продукта и выборка</w:t>
            </w:r>
          </w:hyperlink>
          <w:r>
            <w:tab/>
            <w:t>4</w:t>
          </w:r>
        </w:p>
        <w:p>
          <w:pPr>
            <w:pStyle w:val="TOC3"/>
            <w:tabs>
              <w:tab w:val="right" w:leader="dot" w:pos="9638"/>
            </w:tabs>
          </w:pPr>
          <w:hyperlink w:anchor="_TocAnchor43_1257" w:history="1">
            <w:r>
              <w:t xml:space="preserve">4.1. Инвентаризация</w:t>
            </w:r>
          </w:hyperlink>
          <w:r>
            <w:tab/>
            <w:t>4</w:t>
          </w:r>
        </w:p>
        <w:p>
          <w:pPr>
            <w:pStyle w:val="TOC3"/>
            <w:tabs>
              <w:tab w:val="right" w:leader="dot" w:pos="9638"/>
            </w:tabs>
          </w:pPr>
          <w:hyperlink w:anchor="_TocAnchor54_1259" w:history="1">
            <w:r>
              <w:t xml:space="preserve">4.2. Структурированная выборка</w:t>
            </w:r>
          </w:hyperlink>
          <w:r>
            <w:tab/>
            <w:t>4</w:t>
          </w:r>
        </w:p>
        <w:p>
          <w:pPr>
            <w:pStyle w:val="TOC3"/>
            <w:tabs>
              <w:tab w:val="right" w:leader="dot" w:pos="9638"/>
            </w:tabs>
          </w:pPr>
          <w:hyperlink w:anchor="_TocAnchor56_1261" w:history="1">
            <w:r>
              <w:t xml:space="preserve">4.3. Случайная выборка</w:t>
            </w:r>
          </w:hyperlink>
          <w:r>
            <w:tab/>
            <w:t>5</w:t>
          </w:r>
        </w:p>
        <w:p>
          <w:pPr>
            <w:pStyle w:val="TOC3"/>
            <w:tabs>
              <w:tab w:val="right" w:leader="dot" w:pos="9638"/>
            </w:tabs>
          </w:pPr>
          <w:hyperlink w:anchor="_TocAnchor69_1263" w:history="1">
            <w:r>
              <w:t xml:space="preserve">4.4. Полные процессы и состояния</w:t>
            </w:r>
          </w:hyperlink>
          <w:r>
            <w:tab/>
            <w:t>5</w:t>
          </w:r>
        </w:p>
        <w:p>
          <w:pPr>
            <w:pStyle w:val="TOC3"/>
            <w:tabs>
              <w:tab w:val="right" w:leader="dot" w:pos="9638"/>
            </w:tabs>
          </w:pPr>
          <w:hyperlink w:anchor="_TocAnchor74_1265" w:history="1">
            <w:r>
              <w:t xml:space="preserve">4.5. Когда проверяется весь сайт</w:t>
            </w:r>
          </w:hyperlink>
          <w:r>
            <w:tab/>
            <w:t>6</w:t>
          </w:r>
        </w:p>
        <w:p>
          <w:pPr>
            <w:pStyle w:val="TOC2"/>
            <w:tabs>
              <w:tab w:val="right" w:leader="dot" w:pos="9638"/>
            </w:tabs>
          </w:pPr>
          <w:hyperlink w:anchor="_TocAnchor76_1267" w:history="1">
            <w:r>
              <w:t xml:space="preserve">5. Конфигурации и вспомогательные технологии</w:t>
            </w:r>
          </w:hyperlink>
          <w:r>
            <w:tab/>
            <w:t>6</w:t>
          </w:r>
        </w:p>
        <w:p>
          <w:pPr>
            <w:pStyle w:val="TOC2"/>
            <w:tabs>
              <w:tab w:val="right" w:leader="dot" w:pos="9638"/>
            </w:tabs>
          </w:pPr>
          <w:hyperlink w:anchor="_TocAnchor87_1269" w:history="1">
            <w:r>
              <w:t xml:space="preserve">6. Три слоя проверки</w:t>
            </w:r>
          </w:hyperlink>
          <w:r>
            <w:tab/>
            <w:t>7</w:t>
          </w:r>
        </w:p>
        <w:p>
          <w:pPr>
            <w:pStyle w:val="TOC3"/>
            <w:tabs>
              <w:tab w:val="right" w:leader="dot" w:pos="9638"/>
            </w:tabs>
          </w:pPr>
          <w:hyperlink w:anchor="_TocAnchor88_1271" w:history="1">
            <w:r>
              <w:t xml:space="preserve">6.1. Автоматические проверки</w:t>
            </w:r>
          </w:hyperlink>
          <w:r>
            <w:tab/>
            <w:t>7</w:t>
          </w:r>
        </w:p>
        <w:p>
          <w:pPr>
            <w:pStyle w:val="TOC3"/>
            <w:tabs>
              <w:tab w:val="right" w:leader="dot" w:pos="9638"/>
            </w:tabs>
          </w:pPr>
          <w:hyperlink w:anchor="_TocAnchor91_1273" w:history="1">
            <w:r>
              <w:t xml:space="preserve">6.2. Ручная проверка по стандарту</w:t>
            </w:r>
          </w:hyperlink>
          <w:r>
            <w:tab/>
            <w:t>7</w:t>
          </w:r>
        </w:p>
        <w:p>
          <w:pPr>
            <w:pStyle w:val="TOC3"/>
            <w:tabs>
              <w:tab w:val="right" w:leader="dot" w:pos="9638"/>
            </w:tabs>
          </w:pPr>
          <w:hyperlink w:anchor="_TocAnchor93_1275" w:history="1">
            <w:r>
              <w:t xml:space="preserve">6.3. Проверка с пользователями</w:t>
            </w:r>
          </w:hyperlink>
          <w:r>
            <w:tab/>
            <w:t>7</w:t>
          </w:r>
        </w:p>
        <w:p>
          <w:pPr>
            <w:pStyle w:val="TOC2"/>
            <w:tabs>
              <w:tab w:val="right" w:leader="dot" w:pos="9638"/>
            </w:tabs>
          </w:pPr>
          <w:hyperlink w:anchor="_TocAnchor98_1277" w:history="1">
            <w:r>
              <w:t xml:space="preserve">7. Базовый набор из 34 контрольных проверок</w:t>
            </w:r>
          </w:hyperlink>
          <w:r>
            <w:tab/>
            <w:t>8</w:t>
          </w:r>
        </w:p>
        <w:p>
          <w:pPr>
            <w:pStyle w:val="TOC2"/>
            <w:tabs>
              <w:tab w:val="right" w:leader="dot" w:pos="9638"/>
            </w:tabs>
          </w:pPr>
          <w:hyperlink w:anchor="_TocAnchor103_1279" w:history="1">
            <w:r>
              <w:t xml:space="preserve">8. Доказательства и регистрация результата</w:t>
            </w:r>
          </w:hyperlink>
          <w:r>
            <w:tab/>
            <w:t>11</w:t>
          </w:r>
        </w:p>
        <w:p>
          <w:pPr>
            <w:pStyle w:val="TOC2"/>
            <w:tabs>
              <w:tab w:val="right" w:leader="dot" w:pos="9638"/>
            </w:tabs>
          </w:pPr>
          <w:hyperlink w:anchor="_TocAnchor118_1281" w:history="1">
            <w:r>
              <w:t xml:space="preserve">9. Серьезность дефекта</w:t>
            </w:r>
          </w:hyperlink>
          <w:r>
            <w:tab/>
            <w:t>12</w:t>
          </w:r>
        </w:p>
        <w:p>
          <w:pPr>
            <w:pStyle w:val="TOC2"/>
            <w:tabs>
              <w:tab w:val="right" w:leader="dot" w:pos="9638"/>
            </w:tabs>
          </w:pPr>
          <w:hyperlink w:anchor="_TocAnchor121_1283" w:history="1">
            <w:r>
              <w:t xml:space="preserve">10. Правила заключения</w:t>
            </w:r>
          </w:hyperlink>
          <w:r>
            <w:tab/>
            <w:t>13</w:t>
          </w:r>
        </w:p>
        <w:p>
          <w:pPr>
            <w:pStyle w:val="TOC2"/>
            <w:tabs>
              <w:tab w:val="right" w:leader="dot" w:pos="9638"/>
            </w:tabs>
          </w:pPr>
          <w:hyperlink w:anchor="_TocAnchor139_1285" w:history="1">
            <w:r>
              <w:t xml:space="preserve">11. Повторная проверка и регрессия</w:t>
            </w:r>
          </w:hyperlink>
          <w:r>
            <w:tab/>
            <w:t>13</w:t>
          </w:r>
        </w:p>
        <w:p>
          <w:pPr>
            <w:pStyle w:val="TOC2"/>
            <w:tabs>
              <w:tab w:val="right" w:leader="dot" w:pos="9638"/>
            </w:tabs>
          </w:pPr>
          <w:hyperlink w:anchor="_TocAnchor149_1287" w:history="1">
            <w:r>
              <w:t xml:space="preserve">12. Шаблоны</w:t>
            </w:r>
          </w:hyperlink>
          <w:r>
            <w:tab/>
            <w:t>14</w:t>
          </w:r>
        </w:p>
        <w:p>
          <w:pPr>
            <w:pStyle w:val="TOC3"/>
            <w:tabs>
              <w:tab w:val="right" w:leader="dot" w:pos="9638"/>
            </w:tabs>
          </w:pPr>
          <w:hyperlink w:anchor="_TocAnchor150_1289" w:history="1">
            <w:r>
              <w:t xml:space="preserve">12.1. Паспорт оценки</w:t>
            </w:r>
          </w:hyperlink>
          <w:r>
            <w:tab/>
            <w:t>14</w:t>
          </w:r>
        </w:p>
        <w:p>
          <w:pPr>
            <w:pStyle w:val="TOC3"/>
            <w:tabs>
              <w:tab w:val="right" w:leader="dot" w:pos="9638"/>
            </w:tabs>
          </w:pPr>
          <w:hyperlink w:anchor="_TocAnchor152_1291" w:history="1">
            <w:r>
              <w:t xml:space="preserve">12.2. Матрица покрытия</w:t>
            </w:r>
          </w:hyperlink>
          <w:r>
            <w:tab/>
            <w:t>14</w:t>
          </w:r>
        </w:p>
        <w:p>
          <w:pPr>
            <w:pStyle w:val="TOC3"/>
            <w:tabs>
              <w:tab w:val="right" w:leader="dot" w:pos="9638"/>
            </w:tabs>
          </w:pPr>
          <w:hyperlink w:anchor="_TocAnchor154_1293" w:history="1">
            <w:r>
              <w:t xml:space="preserve">12.3. Карточка дефекта</w:t>
            </w:r>
          </w:hyperlink>
          <w:r>
            <w:tab/>
            <w:t>15</w:t>
          </w:r>
        </w:p>
        <w:p>
          <w:pPr>
            <w:pStyle w:val="TOC3"/>
            <w:tabs>
              <w:tab w:val="right" w:leader="dot" w:pos="9638"/>
            </w:tabs>
          </w:pPr>
          <w:hyperlink w:anchor="_TocAnchor156_1295" w:history="1">
            <w:r>
              <w:t xml:space="preserve">12.4. Пользовательский протокол</w:t>
            </w:r>
          </w:hyperlink>
          <w:r>
            <w:tab/>
            <w:t>15</w:t>
          </w:r>
        </w:p>
        <w:p>
          <w:pPr>
            <w:pStyle w:val="TOC3"/>
            <w:tabs>
              <w:tab w:val="right" w:leader="dot" w:pos="9638"/>
            </w:tabs>
          </w:pPr>
          <w:hyperlink w:anchor="_TocAnchor158_1297" w:history="1">
            <w:r>
              <w:t xml:space="preserve">12.5. Реестр контрольных результатов</w:t>
            </w:r>
          </w:hyperlink>
          <w:r>
            <w:tab/>
            <w:t>16</w:t>
          </w:r>
        </w:p>
        <w:p>
          <w:pPr>
            <w:pStyle w:val="TOC3"/>
            <w:tabs>
              <w:tab w:val="right" w:leader="dot" w:pos="9638"/>
            </w:tabs>
          </w:pPr>
          <w:hyperlink w:anchor="_TocAnchor160_1299" w:history="1">
            <w:r>
              <w:t xml:space="preserve">12.6. Структура итогового отчета</w:t>
            </w:r>
          </w:hyperlink>
          <w:r>
            <w:tab/>
            <w:t>16</w:t>
          </w:r>
        </w:p>
        <w:p>
          <w:pPr>
            <w:pStyle w:val="TOC2"/>
            <w:tabs>
              <w:tab w:val="right" w:leader="dot" w:pos="9638"/>
            </w:tabs>
          </w:pPr>
          <w:hyperlink w:anchor="_TocAnchor162_1301" w:history="1">
            <w:r>
              <w:t xml:space="preserve">13. Основные источники</w:t>
            </w:r>
          </w:hyperlink>
          <w:r>
            <w:tab/>
            <w:t>16</w:t>
          </w:r>
        </w:p>
        <w:p>
          <w:r>
            <w:fldChar w:fldCharType="end"/>
          </w:r>
        </w:p>
      </w:sdtContent>
    </w:sdt>
    <w:p>
      <w:pPr>
        <w:pStyle w:val="FirstParagraph"/>
      </w:pPr>
      <w:r>
        <w:rPr>
          <w:b/>
          <w:bCs/>
        </w:rPr>
        <w:t xml:space="preserve">Версия:</w:t>
      </w:r>
      <w:r>
        <w:t xml:space="preserve"> </w:t>
      </w:r>
      <w:r>
        <w:t xml:space="preserve">0.2</w:t>
      </w:r>
      <w:r>
        <w:br/>
      </w:r>
      <w:r>
        <w:rPr>
          <w:b/>
          <w:bCs/>
        </w:rPr>
        <w:t xml:space="preserve">Дата:</w:t>
      </w:r>
      <w:r>
        <w:t xml:space="preserve"> </w:t>
      </w:r>
      <w:r>
        <w:t xml:space="preserve">11 сентября 2026 года</w:t>
      </w:r>
      <w:r>
        <w:br/>
      </w:r>
      <w:r>
        <w:rPr>
          <w:b/>
          <w:bCs/>
        </w:rPr>
        <w:t xml:space="preserve">Статус:</w:t>
      </w:r>
      <w:r>
        <w:t xml:space="preserve"> </w:t>
      </w:r>
      <w:r>
        <w:t xml:space="preserve">проект для обсуждения и апробации. Документ не является утвержденным стандартом, нормативным правовым актом, сертификатом или автоматическим основанием для заявления о соответствии.</w:t>
      </w:r>
    </w:p>
    <w:p>
      <w:pPr>
        <w:pStyle w:val="BodyText"/>
      </w:pPr>
      <w:r>
        <w:rPr>
          <w:b/>
          <w:bCs/>
        </w:rPr>
        <w:t xml:space="preserve">Статус:</w:t>
      </w:r>
      <w:r>
        <w:t xml:space="preserve"> </w:t>
      </w:r>
      <w:r>
        <w:t xml:space="preserve">проект для обсуждения. До утверждения методика должна пройти апробацию на действующих сайтах с участием пользователей.</w:t>
      </w:r>
    </w:p>
    <w:bookmarkStart w:id="20" w:name="назначение-и-принцип-оценки"/>
    <w:p>
      <w:pPr>
        <w:pStyle w:val="Heading2"/>
      </w:pPr>
      <w:bookmarkStart w:id="1248" w:name="_TocAnchor5_1247"/>
      <w:r>
        <w:t xml:space="preserve">1. Назначение и принцип оценки</w:t>
      </w:r>
      <w:bookmarkEnd w:id="1248"/>
    </w:p>
    <w:p>
      <w:pPr>
        <w:pStyle w:val="FirstParagraph"/>
      </w:pPr>
      <w:r>
        <w:t xml:space="preserve">Методология предназначена для воспроизводимой оценки сайтов и веб-приложений с учетом потребностей людей с ограничениями зрения, слуха, движения, речи, внимания, памяти, понимания и обучения. Она применима к предварительной диагностике, приемке релиза, независимому аудиту, закупочной проверке и регулярному мониторингу.</w:t>
      </w:r>
    </w:p>
    <w:p>
      <w:pPr>
        <w:pStyle w:val="BodyText"/>
      </w:pPr>
      <w:r>
        <w:t xml:space="preserve">Оценка отвечает на четыре разных вопроса:</w:t>
      </w:r>
    </w:p>
    <w:p>
      <w:pPr>
        <w:pStyle w:val="Compact"/>
        <w:numPr>
          <w:ilvl w:val="0"/>
          <w:numId w:val="1001"/>
        </w:numPr>
      </w:pPr>
      <w:r>
        <w:t xml:space="preserve">какие критерии WCAG выполнены на проверенных страницах и состояниях;</w:t>
      </w:r>
    </w:p>
    <w:p>
      <w:pPr>
        <w:pStyle w:val="Compact"/>
        <w:numPr>
          <w:ilvl w:val="0"/>
          <w:numId w:val="1001"/>
        </w:numPr>
      </w:pPr>
      <w:r>
        <w:t xml:space="preserve">могут ли разные пользователи завершить ключевые процессы;</w:t>
      </w:r>
    </w:p>
    <w:p>
      <w:pPr>
        <w:pStyle w:val="Compact"/>
        <w:numPr>
          <w:ilvl w:val="0"/>
          <w:numId w:val="1001"/>
        </w:numPr>
      </w:pPr>
      <w:r>
        <w:t xml:space="preserve">какие барьеры выходят за минимальные критерии WCAG, особенно в когнитивной доступности;</w:t>
      </w:r>
    </w:p>
    <w:p>
      <w:pPr>
        <w:pStyle w:val="Compact"/>
        <w:numPr>
          <w:ilvl w:val="0"/>
          <w:numId w:val="1001"/>
        </w:numPr>
      </w:pPr>
      <w:r>
        <w:t xml:space="preserve">насколько доказательства позволяют распространить вывод за пределы выборки.</w:t>
      </w:r>
    </w:p>
    <w:p>
      <w:pPr>
        <w:pStyle w:val="FirstParagraph"/>
      </w:pPr>
      <w:r>
        <w:t xml:space="preserve">Соответствие критериям не равно практической доступности для каждого человека.</w:t>
      </w:r>
      <w:r>
        <w:t xml:space="preserve"> </w:t>
      </w:r>
      <w:hyperlink r:id="rId18">
        <w:r>
          <w:rPr>
            <w:rStyle w:val="Hyperlink"/>
          </w:rPr>
          <w:t xml:space="preserve">WCAG 2.2</w:t>
        </w:r>
      </w:hyperlink>
      <w:r>
        <w:t xml:space="preserve"> </w:t>
      </w:r>
      <w:r>
        <w:t xml:space="preserve">прямо указывает, что рекомендации не охватывают все потребности, особенно когнитивные, языковые и учебные. Пользовательская успешность также не доказывает формального соответствия всем критериям. Поэтому автоматическая, ручная и пользовательская оценки ведутся отдельно и сопоставляются только в заключении.</w:t>
      </w:r>
    </w:p>
    <w:p>
      <w:pPr>
        <w:pStyle w:val="BodyText"/>
      </w:pPr>
      <w:r>
        <w:t xml:space="preserve">Единый процент доступности не используется. Сканер не выдает сертификат. Числовой балл способен скрыть блокирующий дефект среди множества успешных проверок.</w:t>
      </w:r>
      <w:r>
        <w:t xml:space="preserve"> </w:t>
      </w:r>
      <w:hyperlink r:id="rId19">
        <w:r>
          <w:rPr>
            <w:rStyle w:val="Hyperlink"/>
          </w:rPr>
          <w:t xml:space="preserve">WCAG-EM 2.0</w:t>
        </w:r>
      </w:hyperlink>
      <w:r>
        <w:t xml:space="preserve"> </w:t>
      </w:r>
      <w:r>
        <w:t xml:space="preserve">допускает агрегированный показатель только как дополнительный и предупреждает, что единой достаточно надежной метрики нет, а WCAG не предоставляет рейтинговую схему.</w:t>
      </w:r>
    </w:p>
    <w:p>
      <w:pPr>
        <w:pStyle w:val="BodyText"/>
      </w:pPr>
      <w:r>
        <w:t xml:space="preserve">Российские правовые основания и область обязательности определяются отдельно для конкретного сайта, категории его владельца и даты оценки. Действующие и вступающие в силу документы российского профиля перечислены в разделе 2.1.</w:t>
      </w:r>
    </w:p>
    <w:bookmarkEnd w:id="20"/>
    <w:bookmarkStart w:id="31" w:name="версии-методических-источников"/>
    <w:p>
      <w:pPr>
        <w:pStyle w:val="Heading2"/>
      </w:pPr>
      <w:bookmarkStart w:id="1250" w:name="_TocAnchor15_1249"/>
      <w:r>
        <w:t xml:space="preserve">2. Версии методических источников</w:t>
      </w:r>
      <w:bookmarkEnd w:id="1250"/>
    </w:p>
    <w:p>
      <w:pPr>
        <w:pStyle w:val="FirstParagraph"/>
      </w:pPr>
      <w:r>
        <w:t xml:space="preserve">Основным стандартом проверки является</w:t>
      </w:r>
      <w:r>
        <w:t xml:space="preserve"> </w:t>
      </w:r>
      <w:hyperlink r:id="rId18">
        <w:r>
          <w:rPr>
            <w:rStyle w:val="Hyperlink"/>
          </w:rPr>
          <w:t xml:space="preserve">WCAG 2.2</w:t>
        </w:r>
      </w:hyperlink>
      <w:r>
        <w:t xml:space="preserve">, Рекомендация W3C в актуальной публикации от 12 декабря 2024 года. Целевой уровень, обычно A или AA, задает заказчик. Для уровня AA должны быть выполнены все применимые критерии A и AA, а не среднее или большинство.</w:t>
      </w:r>
    </w:p>
    <w:p>
      <w:pPr>
        <w:pStyle w:val="BodyText"/>
      </w:pPr>
      <w:r>
        <w:t xml:space="preserve">Для организации выборки и отчета применяется</w:t>
      </w:r>
      <w:r>
        <w:t xml:space="preserve"> </w:t>
      </w:r>
      <w:hyperlink r:id="rId21">
        <w:r>
          <w:rPr>
            <w:rStyle w:val="Hyperlink"/>
          </w:rPr>
          <w:t xml:space="preserve">WCAG Evaluation Methodology 2.0</w:t>
        </w:r>
      </w:hyperlink>
      <w:r>
        <w:t xml:space="preserve">, опубликованная 23 июля 2026 года как W3C Group Note. На дату этой версии она уже не является черновиком, однако Group Note не равна W3C Recommendation и не добавляет требований к WCAG.</w:t>
      </w:r>
      <w:r>
        <w:t xml:space="preserve"> </w:t>
      </w:r>
      <w:hyperlink r:id="rId22">
        <w:r>
          <w:rPr>
            <w:rStyle w:val="Hyperlink"/>
          </w:rPr>
          <w:t xml:space="preserve">WCAG-EM 1.0 от 10 июля 2014 года</w:t>
        </w:r>
      </w:hyperlink>
      <w:r>
        <w:t xml:space="preserve"> </w:t>
      </w:r>
      <w:r>
        <w:t xml:space="preserve">сохраняется как предыдущая версия и не должна ошибочно выдаваться за текущую.</w:t>
      </w:r>
    </w:p>
    <w:p>
      <w:pPr>
        <w:pStyle w:val="BodyText"/>
      </w:pPr>
      <w:r>
        <w:t xml:space="preserve">Для когнитивной доступности используется</w:t>
      </w:r>
      <w:r>
        <w:t xml:space="preserve"> </w:t>
      </w:r>
      <w:hyperlink r:id="rId23">
        <w:r>
          <w:rPr>
            <w:rStyle w:val="Hyperlink"/>
          </w:rPr>
          <w:t xml:space="preserve">Making Content Usable for People with Cognitive and Learning Disabilities</w:t>
        </w:r>
      </w:hyperlink>
      <w:r>
        <w:t xml:space="preserve">. Это рекомендательное дополнение W3C, а не часть требований для соответствия WCAG. Проверки COGA в отчете получают отдельную метку «рекомендательная проверка» либо «Предложение проекта», если заказчик сделал их договорным условием.</w:t>
      </w:r>
    </w:p>
    <w:p>
      <w:pPr>
        <w:pStyle w:val="BodyText"/>
      </w:pPr>
      <w:r>
        <w:t xml:space="preserve">Для описания прозрачных тестовых правил можно использовать</w:t>
      </w:r>
      <w:r>
        <w:t xml:space="preserve"> </w:t>
      </w:r>
      <w:hyperlink r:id="rId24">
        <w:r>
          <w:rPr>
            <w:rStyle w:val="Hyperlink"/>
          </w:rPr>
          <w:t xml:space="preserve">ACT Rules Format 1.1</w:t>
        </w:r>
      </w:hyperlink>
      <w:r>
        <w:t xml:space="preserve">. Формат правила не гарантирует полноту реализации и не превращает отдельное правило в сертификат соответствия всему стандарту.</w:t>
      </w:r>
    </w:p>
    <w:bookmarkStart w:id="30" w:name="российский-профиль"/>
    <w:p>
      <w:pPr>
        <w:pStyle w:val="Heading3"/>
      </w:pPr>
      <w:bookmarkStart w:id="1252" w:name="_TocAnchor20_1251"/>
      <w:r>
        <w:t xml:space="preserve">2.1. Российский профиль</w:t>
      </w:r>
      <w:bookmarkEnd w:id="1252"/>
    </w:p>
    <w:p>
      <w:pPr>
        <w:pStyle w:val="FirstParagraph"/>
      </w:pPr>
      <w:hyperlink r:id="rId25">
        <w:r>
          <w:rPr>
            <w:rStyle w:val="Hyperlink"/>
          </w:rPr>
          <w:t xml:space="preserve">Постановление Правительства РФ от 07.02.2026 № 102</w:t>
        </w:r>
      </w:hyperlink>
      <w:r>
        <w:t xml:space="preserve"> </w:t>
      </w:r>
      <w:r>
        <w:t xml:space="preserve">действует с 01.03.2026 и образует специальный обязательный профиль для официальных сайтов государственных органов, органов местного самоуправления и подведомственных им организаций в части доступности для инвалидов по зрению. Оно не является общей нормой для всех сайтов и всех видов ограничений.</w:t>
      </w:r>
    </w:p>
    <w:p>
      <w:pPr>
        <w:pStyle w:val="BodyText"/>
      </w:pPr>
      <w:hyperlink r:id="rId26">
        <w:r>
          <w:rPr>
            <w:rStyle w:val="Hyperlink"/>
          </w:rPr>
          <w:t xml:space="preserve">ГОСТ Р 52872-2019</w:t>
        </w:r>
      </w:hyperlink>
      <w:r>
        <w:t xml:space="preserve"> </w:t>
      </w:r>
      <w:r>
        <w:t xml:space="preserve">имеет общий предмет доступности интернет-ресурсов, приложений и интерфейсов.</w:t>
      </w:r>
      <w:r>
        <w:t xml:space="preserve"> </w:t>
      </w:r>
      <w:hyperlink r:id="rId27">
        <w:r>
          <w:rPr>
            <w:rStyle w:val="Hyperlink"/>
          </w:rPr>
          <w:t xml:space="preserve">ГОСТ Р 70176-2022</w:t>
        </w:r>
      </w:hyperlink>
      <w:r>
        <w:t xml:space="preserve"> </w:t>
      </w:r>
      <w:r>
        <w:t xml:space="preserve">применяется к PDF-документам, а не к интерфейсу сайта или процессу конвертации; PDF/A не равен PDF/UA.</w:t>
      </w:r>
      <w:r>
        <w:t xml:space="preserve"> </w:t>
      </w:r>
      <w:hyperlink r:id="rId28">
        <w:r>
          <w:rPr>
            <w:rStyle w:val="Hyperlink"/>
          </w:rPr>
          <w:t xml:space="preserve">ГОСТ Р ИСО 21801-1-2022</w:t>
        </w:r>
      </w:hyperlink>
      <w:r>
        <w:t xml:space="preserve"> </w:t>
      </w:r>
      <w:r>
        <w:t xml:space="preserve">дает общие указания по когнитивной доступности, но не самостоятельный измеримый чек-лист сайта. Эти стандарты имеют разные предметы и не тождественны WCAG 2.2 AA. В отчете для них ведется отдельная трассировка.</w:t>
      </w:r>
    </w:p>
    <w:p>
      <w:pPr>
        <w:pStyle w:val="BodyText"/>
      </w:pPr>
      <w:hyperlink r:id="rId29">
        <w:r>
          <w:rPr>
            <w:rStyle w:val="Hyperlink"/>
          </w:rPr>
          <w:t xml:space="preserve">Приказ Минтруда России от 14.11.2025 № 647н</w:t>
        </w:r>
      </w:hyperlink>
      <w:r>
        <w:t xml:space="preserve"> </w:t>
      </w:r>
      <w:r>
        <w:t xml:space="preserve">вступает в силу 01.09.2027 и на дату этой версии не действует. Размещенное DOCX-приложение имеет незаполненные реквизиты в грифе, поэтому его содержание можно использовать только как источник проектной идеи цикла адаптации понятного текста, а не как сверенный действующий нормативный текст.</w:t>
      </w:r>
    </w:p>
    <w:bookmarkEnd w:id="30"/>
    <w:bookmarkEnd w:id="31"/>
    <w:bookmarkStart w:id="32" w:name="паспорт-области-оценки"/>
    <w:p>
      <w:pPr>
        <w:pStyle w:val="Heading2"/>
      </w:pPr>
      <w:bookmarkStart w:id="1254" w:name="_TocAnchor24_1253"/>
      <w:r>
        <w:t xml:space="preserve">3. Паспорт области оценки</w:t>
      </w:r>
      <w:bookmarkEnd w:id="1254"/>
    </w:p>
    <w:p>
      <w:pPr>
        <w:pStyle w:val="FirstParagraph"/>
      </w:pPr>
      <w:r>
        <w:t xml:space="preserve">До проверки фиксируются:</w:t>
      </w:r>
    </w:p>
    <w:p>
      <w:pPr>
        <w:pStyle w:val="Compact"/>
        <w:numPr>
          <w:ilvl w:val="0"/>
          <w:numId w:val="1002"/>
        </w:numPr>
      </w:pPr>
      <w:r>
        <w:t xml:space="preserve">владелец, наименование и назначение сайта;</w:t>
      </w:r>
    </w:p>
    <w:p>
      <w:pPr>
        <w:pStyle w:val="Compact"/>
        <w:numPr>
          <w:ilvl w:val="0"/>
          <w:numId w:val="1002"/>
        </w:numPr>
      </w:pPr>
      <w:r>
        <w:t xml:space="preserve">точные домены, поддомены и исключения;</w:t>
      </w:r>
    </w:p>
    <w:p>
      <w:pPr>
        <w:pStyle w:val="Compact"/>
        <w:numPr>
          <w:ilvl w:val="0"/>
          <w:numId w:val="1002"/>
        </w:numPr>
      </w:pPr>
      <w:r>
        <w:t xml:space="preserve">версия, номер сборки, дата развертывания или контрольная дата;</w:t>
      </w:r>
    </w:p>
    <w:p>
      <w:pPr>
        <w:pStyle w:val="Compact"/>
        <w:numPr>
          <w:ilvl w:val="0"/>
          <w:numId w:val="1002"/>
        </w:numPr>
      </w:pPr>
      <w:r>
        <w:t xml:space="preserve">публичная и авторизованная области, роли пользователей;</w:t>
      </w:r>
    </w:p>
    <w:p>
      <w:pPr>
        <w:pStyle w:val="Compact"/>
        <w:numPr>
          <w:ilvl w:val="0"/>
          <w:numId w:val="1002"/>
        </w:numPr>
      </w:pPr>
      <w:r>
        <w:t xml:space="preserve">языковые версии, региональные варианты и персонализированные представления;</w:t>
      </w:r>
    </w:p>
    <w:p>
      <w:pPr>
        <w:pStyle w:val="Compact"/>
        <w:numPr>
          <w:ilvl w:val="0"/>
          <w:numId w:val="1002"/>
        </w:numPr>
      </w:pPr>
      <w:r>
        <w:t xml:space="preserve">адаптивные варианты для экранов и ориентаций;</w:t>
      </w:r>
    </w:p>
    <w:p>
      <w:pPr>
        <w:pStyle w:val="Compact"/>
        <w:numPr>
          <w:ilvl w:val="0"/>
          <w:numId w:val="1002"/>
        </w:numPr>
      </w:pPr>
      <w:r>
        <w:t xml:space="preserve">встроенные сторонние сервисы, виджеты, платежные и идентификационные контуры;</w:t>
      </w:r>
    </w:p>
    <w:p>
      <w:pPr>
        <w:pStyle w:val="Compact"/>
        <w:numPr>
          <w:ilvl w:val="0"/>
          <w:numId w:val="1002"/>
        </w:numPr>
      </w:pPr>
      <w:r>
        <w:t xml:space="preserve">технологии, на которые опирается сайт;</w:t>
      </w:r>
    </w:p>
    <w:p>
      <w:pPr>
        <w:pStyle w:val="Compact"/>
        <w:numPr>
          <w:ilvl w:val="0"/>
          <w:numId w:val="1002"/>
        </w:numPr>
      </w:pPr>
      <w:r>
        <w:t xml:space="preserve">типы документов, видео, аудио и интерактивного содержимого;</w:t>
      </w:r>
    </w:p>
    <w:p>
      <w:pPr>
        <w:pStyle w:val="Compact"/>
        <w:numPr>
          <w:ilvl w:val="0"/>
          <w:numId w:val="1002"/>
        </w:numPr>
      </w:pPr>
      <w:r>
        <w:t xml:space="preserve">целевой уровень WCAG и дополнительные требования;</w:t>
      </w:r>
    </w:p>
    <w:p>
      <w:pPr>
        <w:pStyle w:val="Compact"/>
        <w:numPr>
          <w:ilvl w:val="0"/>
          <w:numId w:val="1002"/>
        </w:numPr>
      </w:pPr>
      <w:r>
        <w:t xml:space="preserve">юридически применимый профиль с проверенным основанием, редакцией и датой;</w:t>
      </w:r>
    </w:p>
    <w:p>
      <w:pPr>
        <w:pStyle w:val="Compact"/>
        <w:numPr>
          <w:ilvl w:val="0"/>
          <w:numId w:val="1002"/>
        </w:numPr>
      </w:pPr>
      <w:r>
        <w:t xml:space="preserve">добровольный целевой профиль, например WCAG 2.2 AA и предложения COGA;</w:t>
      </w:r>
    </w:p>
    <w:p>
      <w:pPr>
        <w:pStyle w:val="Compact"/>
        <w:numPr>
          <w:ilvl w:val="0"/>
          <w:numId w:val="1002"/>
        </w:numPr>
      </w:pPr>
      <w:r>
        <w:t xml:space="preserve">разрешенные тестовые данные, ограничения безопасности и конфиденциальности.</w:t>
      </w:r>
    </w:p>
    <w:p>
      <w:pPr>
        <w:pStyle w:val="FirstParagraph"/>
      </w:pPr>
      <w:r>
        <w:t xml:space="preserve">Область описывается так, чтобы другой специалист мог выбрать тот же продукт и версию. Формулировки «основной сайт», «текущая версия» и «типовые страницы» без перечня недостаточны.</w:t>
      </w:r>
    </w:p>
    <w:p>
      <w:pPr>
        <w:pStyle w:val="BodyText"/>
      </w:pPr>
      <w:r>
        <w:t xml:space="preserve">Юридически применимый и добровольный профили оцениваются раздельно. Если право или договор ссылаются на иную редакцию требований, успешная проверка WCAG 2.2 не подменяет юридический анализ, а более узкий юридический профиль не ограничивает добровольную цель. В заключении для каждого профиля приводится собственная трассировка. WCAG 2.2 AA в этом проекте является рекомендуемой добровольной целью, пока для конкретной области не установлено иное проверенным основанием.</w:t>
      </w:r>
    </w:p>
    <w:p>
      <w:pPr>
        <w:pStyle w:val="BodyText"/>
      </w:pPr>
      <w:r>
        <w:t xml:space="preserve">Если сайт связан с российским программным продуктом, оценка охватывает только перечисленные веб-страницы и веб-процессы. Результат не переносится автоматически на настольное или мобильное приложение. Способность веб-продукта создавать доступные документы проверяется отдельно от доступности его интерфейса.</w:t>
      </w:r>
    </w:p>
    <w:bookmarkEnd w:id="32"/>
    <w:bookmarkStart w:id="43" w:name="исследование-продукта-и-выборка"/>
    <w:p>
      <w:pPr>
        <w:pStyle w:val="Heading2"/>
      </w:pPr>
      <w:bookmarkStart w:id="1256" w:name="_TocAnchor42_1255"/>
      <w:r>
        <w:t xml:space="preserve">4. Исследование продукта и выборка</w:t>
      </w:r>
      <w:bookmarkEnd w:id="1256"/>
    </w:p>
    <w:bookmarkStart w:id="34" w:name="инвентаризация"/>
    <w:p>
      <w:pPr>
        <w:pStyle w:val="Heading3"/>
      </w:pPr>
      <w:bookmarkStart w:id="1258" w:name="_TocAnchor43_1257"/>
      <w:r>
        <w:t xml:space="preserve">4.1. Инвентаризация</w:t>
      </w:r>
      <w:bookmarkEnd w:id="1258"/>
    </w:p>
    <w:p>
      <w:pPr>
        <w:pStyle w:val="FirstParagraph"/>
      </w:pPr>
      <w:r>
        <w:t xml:space="preserve">Оценщик выявляет:</w:t>
      </w:r>
    </w:p>
    <w:p>
      <w:pPr>
        <w:pStyle w:val="Compact"/>
        <w:numPr>
          <w:ilvl w:val="0"/>
          <w:numId w:val="1003"/>
        </w:numPr>
      </w:pPr>
      <w:r>
        <w:t xml:space="preserve">общие страницы и представления: главная, вход, регистрация, поиск, карта сайта, контакты, помощь, юридическая информация, заявление о доступности и обратная связь;</w:t>
      </w:r>
    </w:p>
    <w:p>
      <w:pPr>
        <w:pStyle w:val="Compact"/>
        <w:numPr>
          <w:ilvl w:val="0"/>
          <w:numId w:val="1003"/>
        </w:numPr>
      </w:pPr>
      <w:r>
        <w:t xml:space="preserve">существенные функции: получение услуги, создание документа, заполнение формы, отправка, оплата, подтверждение, загрузка, публикация, восстановление доступа;</w:t>
      </w:r>
    </w:p>
    <w:p>
      <w:pPr>
        <w:pStyle w:val="Compact"/>
        <w:numPr>
          <w:ilvl w:val="0"/>
          <w:numId w:val="1003"/>
        </w:numPr>
      </w:pPr>
      <w:r>
        <w:t xml:space="preserve">типы страниц и состояний: шаблоны, роли, ошибки, пустые результаты, модальные окна, уведомления, таблицы, редакторы, панели и динамические состояния;</w:t>
      </w:r>
    </w:p>
    <w:p>
      <w:pPr>
        <w:pStyle w:val="Compact"/>
        <w:numPr>
          <w:ilvl w:val="0"/>
          <w:numId w:val="1003"/>
        </w:numPr>
      </w:pPr>
      <w:r>
        <w:t xml:space="preserve">технологии: HTML, CSS, JavaScript, WAI-ARIA, графика, медиаплееры, форматы документов и сторонние компоненты;</w:t>
      </w:r>
    </w:p>
    <w:p>
      <w:pPr>
        <w:pStyle w:val="Compact"/>
        <w:numPr>
          <w:ilvl w:val="0"/>
          <w:numId w:val="1003"/>
        </w:numPr>
      </w:pPr>
      <w:r>
        <w:t xml:space="preserve">чувствительные и высокорисковые функции: аутентификация, персональные данные, юридические и финансовые действия;</w:t>
      </w:r>
    </w:p>
    <w:p>
      <w:pPr>
        <w:pStyle w:val="Compact"/>
        <w:numPr>
          <w:ilvl w:val="0"/>
          <w:numId w:val="1003"/>
        </w:numPr>
      </w:pPr>
      <w:r>
        <w:t xml:space="preserve">отличающиеся адаптивные, языковые и персонализированные варианты.</w:t>
      </w:r>
    </w:p>
    <w:p>
      <w:pPr>
        <w:pStyle w:val="FirstParagraph"/>
      </w:pPr>
      <w:r>
        <w:t xml:space="preserve">Эта схема следует</w:t>
      </w:r>
      <w:r>
        <w:t xml:space="preserve"> </w:t>
      </w:r>
      <w:hyperlink r:id="rId33">
        <w:r>
          <w:rPr>
            <w:rStyle w:val="Hyperlink"/>
          </w:rPr>
          <w:t xml:space="preserve">этапу 2 WCAG-EM 2.0</w:t>
        </w:r>
      </w:hyperlink>
      <w:r>
        <w:t xml:space="preserve">.</w:t>
      </w:r>
    </w:p>
    <w:p>
      <w:pPr>
        <w:pStyle w:val="BodyText"/>
      </w:pPr>
      <w:r>
        <w:t xml:space="preserve">До выбора образцов создается генеральный реестр области. Единицей является не только URL, но пара «ресурс + представление/состояние»: один URL с публичной и авторизованной ролью, открытым диалогом, ошибкой или мобильной компоновкой может давать несколько единиц. Реестр строится из карты сайта и маршрутов приложения, выгрузки CMS, разрешенного обхода ссылок, перечня процессов и данных владельца. Для каждой единицы сохраняются стабильный ID, канонический URL или способ открытия, роль, язык, шаблон, функция, технология, состояние, дата обнаружения и источник перечисления.</w:t>
      </w:r>
    </w:p>
    <w:p>
      <w:pPr>
        <w:pStyle w:val="BodyText"/>
      </w:pPr>
      <w:r>
        <w:t xml:space="preserve">Дедупликация выполняется до случайного выбора. Точные дубли канонического URL с тем же содержанием и состоянием объединяются с сохранением всех исходных адресов. Страницы одного шаблона не объединяются, если различаются функция, автор, тип данных, язык, роль, интерактивное состояние или технология. Решение об объединении фиксируется, чтобы другой оценщик мог восстановить генеральный список.</w:t>
      </w:r>
    </w:p>
    <w:bookmarkEnd w:id="34"/>
    <w:bookmarkStart w:id="35" w:name="структурированная-выборка"/>
    <w:p>
      <w:pPr>
        <w:pStyle w:val="Heading3"/>
      </w:pPr>
      <w:bookmarkStart w:id="1260" w:name="_TocAnchor54_1259"/>
      <w:r>
        <w:t xml:space="preserve">4.2. Структурированная выборка</w:t>
      </w:r>
      <w:bookmarkEnd w:id="1260"/>
    </w:p>
    <w:p>
      <w:pPr>
        <w:pStyle w:val="FirstParagraph"/>
      </w:pPr>
      <w:r>
        <w:t xml:space="preserve">Структурированная выборка включает экземпляры всех выявленных общих представлений, существенных функций, типов, технологий и иных релевантных страниц. Один экземпляр может покрывать несколько признаков, но матрица должна это показывать. Размер зависит от сложности, неоднородности, числа авторов, технологий, интерактивности и требуемой уверенности. Фиксированное число страниц без учета разнообразия не является обоснованной выборкой.</w:t>
      </w:r>
    </w:p>
    <w:bookmarkEnd w:id="35"/>
    <w:bookmarkStart w:id="37" w:name="случайная-выборка"/>
    <w:p>
      <w:pPr>
        <w:pStyle w:val="Heading3"/>
      </w:pPr>
      <w:bookmarkStart w:id="1262" w:name="_TocAnchor56_1261"/>
      <w:r>
        <w:t xml:space="preserve">4.3. Случайная выборка</w:t>
      </w:r>
      <w:bookmarkEnd w:id="1262"/>
    </w:p>
    <w:p>
      <w:pPr>
        <w:pStyle w:val="FirstParagraph"/>
      </w:pPr>
      <w:r>
        <w:t xml:space="preserve">По</w:t>
      </w:r>
      <w:r>
        <w:t xml:space="preserve"> </w:t>
      </w:r>
      <w:hyperlink r:id="rId36">
        <w:r>
          <w:rPr>
            <w:rStyle w:val="Hyperlink"/>
          </w:rPr>
          <w:t xml:space="preserve">шагу 3.2 WCAG-EM 2.0</w:t>
        </w:r>
      </w:hyperlink>
      <w:r>
        <w:t xml:space="preserve"> </w:t>
      </w:r>
      <w:r>
        <w:t xml:space="preserve">число случайно выбранных уникальных страниц, представлений или состояний составляет</w:t>
      </w:r>
      <w:r>
        <w:t xml:space="preserve"> </w:t>
      </w:r>
      <w:r>
        <w:rPr>
          <w:b/>
          <w:bCs/>
        </w:rPr>
        <w:t xml:space="preserve">10% от размера структурированной выборки</w:t>
      </w:r>
      <w:r>
        <w:t xml:space="preserve">. Они добавляются поверх нее. Если структурированная выборка содержит 80 единиц, случайная содержит 8, итог до добавления страниц полных процессов равен 88. Доля считается от структурированной выборки, а не от общего числа страниц сайта.</w:t>
      </w:r>
    </w:p>
    <w:p>
      <w:pPr>
        <w:pStyle w:val="BodyText"/>
      </w:pPr>
      <w:r>
        <w:rPr>
          <w:b/>
          <w:bCs/>
        </w:rPr>
        <w:t xml:space="preserve">Предложение проекта.</w:t>
      </w:r>
      <w:r>
        <w:t xml:space="preserve"> </w:t>
      </w:r>
      <w:r>
        <w:t xml:space="preserve">При дробном результате применяется округление вверх, чтобы случайная часть не стала меньше 10%. Для структурированной выборки от 1 до 9 единиц включается хотя бы одна случайная единица, если вне структурированной выборки существует другой материал.</w:t>
      </w:r>
    </w:p>
    <w:p>
      <w:pPr>
        <w:pStyle w:val="BodyText"/>
      </w:pPr>
      <w:r>
        <w:t xml:space="preserve">Алгоритм случайной части:</w:t>
      </w:r>
    </w:p>
    <w:p>
      <w:pPr>
        <w:pStyle w:val="Compact"/>
        <w:numPr>
          <w:ilvl w:val="0"/>
          <w:numId w:val="1004"/>
        </w:numPr>
      </w:pPr>
      <w:r>
        <w:t xml:space="preserve">заморозить версию генерального реестра и структурированной выборки;</w:t>
      </w:r>
    </w:p>
    <w:p>
      <w:pPr>
        <w:pStyle w:val="Compact"/>
        <w:numPr>
          <w:ilvl w:val="0"/>
          <w:numId w:val="1004"/>
        </w:numPr>
      </w:pPr>
      <w:r>
        <w:t xml:space="preserve">удалить из кандидатов все структурированные единицы и документированные дубли;</w:t>
      </w:r>
    </w:p>
    <w:p>
      <w:pPr>
        <w:pStyle w:val="Compact"/>
        <w:numPr>
          <w:ilvl w:val="0"/>
          <w:numId w:val="1004"/>
        </w:numPr>
      </w:pPr>
      <w:r>
        <w:t xml:space="preserve">рассчитать 10% от числа структурированных единиц; округление вверх является</w:t>
      </w:r>
      <w:r>
        <w:t xml:space="preserve"> </w:t>
      </w:r>
      <w:r>
        <w:rPr>
          <w:b/>
          <w:bCs/>
        </w:rPr>
        <w:t xml:space="preserve">Предложением проекта</w:t>
      </w:r>
      <w:r>
        <w:t xml:space="preserve">;</w:t>
      </w:r>
    </w:p>
    <w:p>
      <w:pPr>
        <w:pStyle w:val="Compact"/>
        <w:numPr>
          <w:ilvl w:val="0"/>
          <w:numId w:val="1004"/>
        </w:numPr>
      </w:pPr>
      <w:r>
        <w:t xml:space="preserve">записать алгоритм, seed, дату и порядок исходного списка;</w:t>
      </w:r>
    </w:p>
    <w:p>
      <w:pPr>
        <w:pStyle w:val="Compact"/>
        <w:numPr>
          <w:ilvl w:val="0"/>
          <w:numId w:val="1004"/>
        </w:numPr>
      </w:pPr>
      <w:r>
        <w:t xml:space="preserve">выбрать без возвращения уникальные единицы и добавить их поверх структурированной выборки;</w:t>
      </w:r>
    </w:p>
    <w:p>
      <w:pPr>
        <w:pStyle w:val="Compact"/>
        <w:numPr>
          <w:ilvl w:val="0"/>
          <w:numId w:val="1004"/>
        </w:numPr>
      </w:pPr>
      <w:r>
        <w:t xml:space="preserve">сохранить выбранные и отклоненные как недоступные единицы с причиной замены;</w:t>
      </w:r>
    </w:p>
    <w:p>
      <w:pPr>
        <w:pStyle w:val="Compact"/>
        <w:numPr>
          <w:ilvl w:val="0"/>
          <w:numId w:val="1004"/>
        </w:numPr>
      </w:pPr>
      <w:r>
        <w:t xml:space="preserve">если случайная часть выявила новый тип, технологию, состояние или новый класс дефекта, добавить соответствующие экземпляры в структурированную часть, пересчитать случайную часть и повторять сравнение до репрезентативности.</w:t>
      </w:r>
    </w:p>
    <w:p>
      <w:pPr>
        <w:pStyle w:val="FirstParagraph"/>
      </w:pPr>
      <w:r>
        <w:t xml:space="preserve">Если кандидатов меньше расчетного объема, включается весь остаток. При пустом остатке случайная часть равна нулю, причина фиксируется. Недоступная для проверки единица остается в области со статусом «не проверено»; замена в выборке не снимает это ограничение и не обосновывает положительный вывод о ней.</w:t>
      </w:r>
    </w:p>
    <w:p>
      <w:pPr>
        <w:pStyle w:val="BodyText"/>
      </w:pPr>
      <w:r>
        <w:t xml:space="preserve">Выбор не должен подбираться вручную по удобству или меняться после просмотра результатов. Псевдослучайный алгоритм с заранее фиксированным seed допустим как предложение проекта; его воспроизводимость необходима для повтора. Генеральный список, способ его получения, алгоритм и ограничения перечисления входят в доказательства.</w:t>
      </w:r>
    </w:p>
    <w:bookmarkEnd w:id="37"/>
    <w:bookmarkStart w:id="40" w:name="полные-процессы-и-состояния"/>
    <w:p>
      <w:pPr>
        <w:pStyle w:val="Heading3"/>
      </w:pPr>
      <w:bookmarkStart w:id="1264" w:name="_TocAnchor69_1263"/>
      <w:r>
        <w:t xml:space="preserve">4.4. Полные процессы и состояния</w:t>
      </w:r>
      <w:bookmarkEnd w:id="1264"/>
    </w:p>
    <w:p>
      <w:pPr>
        <w:pStyle w:val="FirstParagraph"/>
      </w:pPr>
      <w:r>
        <w:t xml:space="preserve">Если выбранная единица является частью процесса, включаются начальная точка, все страницы и состояния основной последовательности, а также часто используемые и критичные ответвления. Для каждого перехода фиксируются действия и данные. Одного URL недостаточно, потому что состояние может зависеть от роли, заполнения, ошибки или ответа сервера.</w:t>
      </w:r>
    </w:p>
    <w:p>
      <w:pPr>
        <w:pStyle w:val="BodyText"/>
      </w:pPr>
      <w:r>
        <w:t xml:space="preserve">Минимально проверяются успешный путь, обязательные поля, одно неверное значение, исправление, возврат, отмена, повторная аутентификация, тайм-аут, сохранение прогресса и итоговое подтверждение, если они существуют. Это расширяет базовую последовательность WCAG-EM ради оценки реального риска и маркируется как</w:t>
      </w:r>
      <w:r>
        <w:t xml:space="preserve"> </w:t>
      </w:r>
      <w:r>
        <w:rPr>
          <w:b/>
          <w:bCs/>
        </w:rPr>
        <w:t xml:space="preserve">Предложение проекта</w:t>
      </w:r>
      <w:r>
        <w:t xml:space="preserve">.</w:t>
      </w:r>
    </w:p>
    <w:p>
      <w:pPr>
        <w:pStyle w:val="BodyText"/>
      </w:pPr>
      <w:r>
        <w:t xml:space="preserve">Авторизованная фикстура содержит разрешенный стенд, тестовую роль и права, обезличенные данные, способ получить начальное состояние без передачи пароля оценщику, срок жизни сессии, условия MFA или CAPTCHA, ожидаемые ответы сервера, процедуру сброса и владельца очистки. Реальные платежи, отправки заявлений и изменение чужих данных не выполняются. Записи и снимки маскируют персональные, платежные и аутентификационные данные; временные учетные записи и данные после прогона отзываются или очищаются.</w:t>
      </w:r>
    </w:p>
    <w:p>
      <w:pPr>
        <w:pStyle w:val="BodyText"/>
      </w:pPr>
      <w:hyperlink r:id="rId38">
        <w:r>
          <w:rPr>
            <w:rStyle w:val="Hyperlink"/>
          </w:rPr>
          <w:t xml:space="preserve">WCAG 2.2 требует</w:t>
        </w:r>
      </w:hyperlink>
      <w:r>
        <w:t xml:space="preserve">, чтобы при заявлении соответствия процесса все его страницы соответствовали целевому уровню. А</w:t>
      </w:r>
      <w:r>
        <w:t xml:space="preserve"> </w:t>
      </w:r>
      <w:hyperlink r:id="rId39">
        <w:r>
          <w:rPr>
            <w:rStyle w:val="Hyperlink"/>
          </w:rPr>
          <w:t xml:space="preserve">WCAG-EM 2.0</w:t>
        </w:r>
      </w:hyperlink>
      <w:r>
        <w:t xml:space="preserve"> </w:t>
      </w:r>
      <w:r>
        <w:t xml:space="preserve">требует включать в выборку все единицы выбранного процесса.</w:t>
      </w:r>
    </w:p>
    <w:bookmarkEnd w:id="40"/>
    <w:bookmarkStart w:id="42" w:name="когда-проверяется-весь-сайт"/>
    <w:p>
      <w:pPr>
        <w:pStyle w:val="Heading3"/>
      </w:pPr>
      <w:bookmarkStart w:id="1266" w:name="_TocAnchor74_1265"/>
      <w:r>
        <w:t xml:space="preserve">4.5. Когда проверяется весь сайт</w:t>
      </w:r>
      <w:bookmarkEnd w:id="1266"/>
    </w:p>
    <w:p>
      <w:pPr>
        <w:pStyle w:val="FirstParagraph"/>
      </w:pPr>
      <w:r>
        <w:t xml:space="preserve">Полная проверка предпочтительна, если продукт мал, число представлений ограничено либо его нельзя осмысленно разделить. Выборка снижает объем проверки, но ограничивает вывод. Она не доказывает отсутствие дефектов вне проверенных единиц.</w:t>
      </w:r>
      <w:r>
        <w:t xml:space="preserve"> </w:t>
      </w:r>
      <w:hyperlink r:id="rId41">
        <w:r>
          <w:rPr>
            <w:rStyle w:val="Hyperlink"/>
          </w:rPr>
          <w:t xml:space="preserve">WCAG-EM 2.0</w:t>
        </w:r>
      </w:hyperlink>
      <w:r>
        <w:t xml:space="preserve"> </w:t>
      </w:r>
      <w:r>
        <w:t xml:space="preserve">предупреждает, что по одной выборке нельзя заявить соответствие всего сайта, поскольку на непроверенных страницах могут оставаться ошибки.</w:t>
      </w:r>
    </w:p>
    <w:bookmarkEnd w:id="42"/>
    <w:bookmarkEnd w:id="43"/>
    <w:bookmarkStart w:id="45" w:name="X7231e94d97d4a462be3b425438e46ccdcbdcf6c"/>
    <w:p>
      <w:pPr>
        <w:pStyle w:val="Heading2"/>
      </w:pPr>
      <w:bookmarkStart w:id="1268" w:name="_TocAnchor76_1267"/>
      <w:r>
        <w:t xml:space="preserve">5. Конфигурации и вспомогательные технологии</w:t>
      </w:r>
      <w:bookmarkEnd w:id="1268"/>
    </w:p>
    <w:p>
      <w:pPr>
        <w:pStyle w:val="FirstParagraph"/>
      </w:pPr>
      <w:r>
        <w:t xml:space="preserve">До начала фиксируется технологическая база поддержки: операционные системы, браузеры, размеры и ориентации экрана, масштаб, режим высокой контрастности или системные цвета, экранная клавиатура, скринридеры, управление только клавиатурой, голосовой или переключательный ввод, увеличение и настройки уменьшения движения.</w:t>
      </w:r>
    </w:p>
    <w:p>
      <w:pPr>
        <w:pStyle w:val="BodyText"/>
      </w:pPr>
      <w:r>
        <w:rPr>
          <w:b/>
          <w:bCs/>
        </w:rPr>
        <w:t xml:space="preserve">Предложение проекта.</w:t>
      </w:r>
      <w:r>
        <w:t xml:space="preserve"> </w:t>
      </w:r>
      <w:r>
        <w:t xml:space="preserve">Минимальная матрица для публичного адаптивного сайта включает:</w:t>
      </w:r>
    </w:p>
    <w:p>
      <w:pPr>
        <w:pStyle w:val="Compact"/>
        <w:numPr>
          <w:ilvl w:val="0"/>
          <w:numId w:val="1005"/>
        </w:numPr>
      </w:pPr>
      <w:r>
        <w:t xml:space="preserve">актуальный настольный браузер с клавиатурой;</w:t>
      </w:r>
    </w:p>
    <w:p>
      <w:pPr>
        <w:pStyle w:val="Compact"/>
        <w:numPr>
          <w:ilvl w:val="0"/>
          <w:numId w:val="1005"/>
        </w:numPr>
      </w:pPr>
      <w:r>
        <w:t xml:space="preserve">актуальный настольный браузер со скринридером, распространенным в целевой среде и языке;</w:t>
      </w:r>
    </w:p>
    <w:p>
      <w:pPr>
        <w:pStyle w:val="Compact"/>
        <w:numPr>
          <w:ilvl w:val="0"/>
          <w:numId w:val="1005"/>
        </w:numPr>
      </w:pPr>
      <w:r>
        <w:t xml:space="preserve">мобильный браузер со встроенным скринридером;</w:t>
      </w:r>
    </w:p>
    <w:p>
      <w:pPr>
        <w:pStyle w:val="Compact"/>
        <w:numPr>
          <w:ilvl w:val="0"/>
          <w:numId w:val="1005"/>
        </w:numPr>
      </w:pPr>
      <w:r>
        <w:t xml:space="preserve">увеличение до 200% и проверку reflow при ширине, эквивалентной 320 CSS-пикселям;</w:t>
      </w:r>
    </w:p>
    <w:p>
      <w:pPr>
        <w:pStyle w:val="Compact"/>
        <w:numPr>
          <w:ilvl w:val="0"/>
          <w:numId w:val="1005"/>
        </w:numPr>
      </w:pPr>
      <w:r>
        <w:t xml:space="preserve">системную настройку уменьшения движения;</w:t>
      </w:r>
    </w:p>
    <w:p>
      <w:pPr>
        <w:pStyle w:val="Compact"/>
        <w:numPr>
          <w:ilvl w:val="0"/>
          <w:numId w:val="1005"/>
        </w:numPr>
      </w:pPr>
      <w:r>
        <w:t xml:space="preserve">режим без звука и проверку визуальных эквивалентов;</w:t>
      </w:r>
    </w:p>
    <w:p>
      <w:pPr>
        <w:pStyle w:val="Compact"/>
        <w:numPr>
          <w:ilvl w:val="0"/>
          <w:numId w:val="1005"/>
        </w:numPr>
      </w:pPr>
      <w:r>
        <w:t xml:space="preserve">альтернативный способ точечного ввода, если критическая функция использует сложные жесты или перетаскивание.</w:t>
      </w:r>
    </w:p>
    <w:p>
      <w:pPr>
        <w:pStyle w:val="FirstParagraph"/>
      </w:pPr>
      <w:r>
        <w:t xml:space="preserve">Версии выбираются по реальной аудитории и фиксируются полностью. Для каждого прогона обязательны: версия/сборка продукта, ОС и версия, браузер и версия, вспомогательная технология и версия, язык интерфейса, viewport и ориентация, масштаб, способ ввода, системные настройки движения/контраста, дата, результат и ссылка на доказательство. Исключение поля допускается только с причиной. Успех в одной комбинации не переносится на все платформы. WCAG связывает «поддерживаемый доступностью» способ использования технологии с проверенной совместимостью со вспомогательными технологиями и пользовательскими агентами:</w:t>
      </w:r>
      <w:r>
        <w:t xml:space="preserve"> </w:t>
      </w:r>
      <w:hyperlink r:id="rId44">
        <w:r>
          <w:rPr>
            <w:rStyle w:val="Hyperlink"/>
          </w:rPr>
          <w:t xml:space="preserve">определение accessibility supported</w:t>
        </w:r>
      </w:hyperlink>
      <w:r>
        <w:t xml:space="preserve">.</w:t>
      </w:r>
    </w:p>
    <w:bookmarkEnd w:id="45"/>
    <w:bookmarkStart w:id="52" w:name="три-слоя-проверки"/>
    <w:p>
      <w:pPr>
        <w:pStyle w:val="Heading2"/>
      </w:pPr>
      <w:bookmarkStart w:id="1270" w:name="_TocAnchor87_1269"/>
      <w:r>
        <w:t xml:space="preserve">6. Три слоя проверки</w:t>
      </w:r>
      <w:bookmarkEnd w:id="1270"/>
    </w:p>
    <w:bookmarkStart w:id="46" w:name="автоматические-проверки"/>
    <w:p>
      <w:pPr>
        <w:pStyle w:val="Heading3"/>
      </w:pPr>
      <w:bookmarkStart w:id="1272" w:name="_TocAnchor88_1271"/>
      <w:r>
        <w:t xml:space="preserve">6.1. Автоматические проверки</w:t>
      </w:r>
      <w:bookmarkEnd w:id="1272"/>
    </w:p>
    <w:p>
      <w:pPr>
        <w:pStyle w:val="FirstParagraph"/>
      </w:pPr>
      <w:r>
        <w:t xml:space="preserve">Автоматические средства применяются к программно определимым признакам: отсутствие доступного имени, некоторые ошибки структуры, язык документа, часть контраста, повторяющиеся идентификаторы и отдельные ARIA-состояния. Результаты перепроверяются человеком. Автоматический pass означает только отсутствие обнаруженной данным правилом ошибки в данной области.</w:t>
      </w:r>
    </w:p>
    <w:p>
      <w:pPr>
        <w:pStyle w:val="BodyText"/>
      </w:pPr>
      <w:r>
        <w:t xml:space="preserve">В отчете указываются набор правил и версия, проверенные страницы и состояния, количество проверенных элементов, каждый подтвержденный дефект, ложные срабатывания и остаток, требующий ручной проверки. Повторяющийся HTML id сам по себе не означает нарушение исключенного из WCAG 2.2 критерия 4.1.1: отдельно устанавливается его влияние на применимые критерии, например 1.3.1 или 4.1.2. Автоматические результаты не смешиваются с ручными в общий процент.</w:t>
      </w:r>
    </w:p>
    <w:bookmarkEnd w:id="46"/>
    <w:bookmarkStart w:id="49" w:name="ручная-проверка-по-стандарту"/>
    <w:p>
      <w:pPr>
        <w:pStyle w:val="Heading3"/>
      </w:pPr>
      <w:bookmarkStart w:id="1274" w:name="_TocAnchor91_1273"/>
      <w:r>
        <w:t xml:space="preserve">6.2. Ручная проверка по стандарту</w:t>
      </w:r>
      <w:bookmarkEnd w:id="1274"/>
    </w:p>
    <w:p>
      <w:pPr>
        <w:pStyle w:val="FirstParagraph"/>
      </w:pPr>
      <w:r>
        <w:t xml:space="preserve">Оценщик проходит все применимые критерии целевого уровня на каждой единице выборки, проверяет полные страницы, процессы, поддерживаемые способы использования технологии и невмешательство. Повторяющийся компонент можно не анализировать заново в каждой идентичной реализации, но все отличающиеся состояния и шаблоны проверяются. Основание:</w:t>
      </w:r>
      <w:r>
        <w:t xml:space="preserve"> </w:t>
      </w:r>
      <w:hyperlink r:id="rId47">
        <w:r>
          <w:rPr>
            <w:rStyle w:val="Hyperlink"/>
          </w:rPr>
          <w:t xml:space="preserve">пять требований к соответствию WCAG</w:t>
        </w:r>
      </w:hyperlink>
      <w:r>
        <w:t xml:space="preserve"> </w:t>
      </w:r>
      <w:r>
        <w:t xml:space="preserve">и</w:t>
      </w:r>
      <w:r>
        <w:t xml:space="preserve"> </w:t>
      </w:r>
      <w:hyperlink r:id="rId48">
        <w:r>
          <w:rPr>
            <w:rStyle w:val="Hyperlink"/>
          </w:rPr>
          <w:t xml:space="preserve">шаг 4 WCAG-EM 2.0</w:t>
        </w:r>
      </w:hyperlink>
      <w:r>
        <w:t xml:space="preserve">.</w:t>
      </w:r>
    </w:p>
    <w:bookmarkEnd w:id="49"/>
    <w:bookmarkStart w:id="51" w:name="проверка-с-пользователями"/>
    <w:p>
      <w:pPr>
        <w:pStyle w:val="Heading3"/>
      </w:pPr>
      <w:bookmarkStart w:id="1276" w:name="_TocAnchor93_1275"/>
      <w:r>
        <w:t xml:space="preserve">6.3. Проверка с пользователями</w:t>
      </w:r>
      <w:bookmarkEnd w:id="1276"/>
    </w:p>
    <w:p>
      <w:pPr>
        <w:pStyle w:val="FirstParagraph"/>
      </w:pPr>
      <w:r>
        <w:t xml:space="preserve">Люди с инвалидностью и особенностями восприятия выполняют критические задачи в привычных условиях. Проверяется достижение цели, понимание, ошибки, возвраты, незапланированная помощь, потеря данных, нагрузка и доверие к результату. Состав отражает разные модели взаимодействия, а не только диагнозы. Один участник не представляет группу.</w:t>
      </w:r>
    </w:p>
    <w:p>
      <w:pPr>
        <w:pStyle w:val="BodyText"/>
      </w:pPr>
      <w:hyperlink r:id="rId50">
        <w:r>
          <w:rPr>
            <w:rStyle w:val="Hyperlink"/>
          </w:rPr>
          <w:t xml:space="preserve">W3C WAI</w:t>
        </w:r>
      </w:hyperlink>
      <w:r>
        <w:t xml:space="preserve"> </w:t>
      </w:r>
      <w:r>
        <w:t xml:space="preserve">указывает, что оценка с пользователями выявляет проблемы удобства, которые не обнаруживаются одной проверкой соответствия. Результаты нельзя использовать для заявления, что критерий WCAG выполнен без проверки нормативного условия.</w:t>
      </w:r>
    </w:p>
    <w:p>
      <w:pPr>
        <w:pStyle w:val="BodyText"/>
      </w:pPr>
      <w:r>
        <w:rPr>
          <w:b/>
          <w:bCs/>
        </w:rPr>
        <w:t xml:space="preserve">Предложение проекта.</w:t>
      </w:r>
      <w:r>
        <w:t xml:space="preserve"> </w:t>
      </w:r>
      <w:r>
        <w:t xml:space="preserve">Стартовый исследовательский цикл включает хотя бы одного участника на каждую существенно отличающуюся модель взаимодействия в критическом процессе. Состав расширяется при появлении новых классов барьеров. Это правило планирования, не нормативная квота и не статистическое доказательство.</w:t>
      </w:r>
    </w:p>
    <w:p>
      <w:pPr>
        <w:pStyle w:val="BodyText"/>
      </w:pPr>
      <w:r>
        <w:t xml:space="preserve">До сессии участник получает доступное описание цели, задач, рисков, компенсации, собираемых данных, срока хранения и удаления. Он может сделать перерыв, прекратить участие или отозвать разрешение на использование записи без объяснения причин. Запись аудио, видео или экрана требует отдельного согласия. Команда предоставляет привычную конфигурацию, необходимые условия общения и безопасную фикстуру без реального платежа и чужих данных. Модератор останавливает задачу при дискомфорте, угрозе потери данных или просьбе участника, предлагает помощь и проводит разбор. После сессии участнику сообщают доступный канал поддержки. Исследовательский протокол хранит код участника и минимум персональных данных.</w:t>
      </w:r>
    </w:p>
    <w:bookmarkEnd w:id="51"/>
    <w:bookmarkEnd w:id="52"/>
    <w:bookmarkStart w:id="101" w:name="базовый-набор-из-34-контрольных-проверок"/>
    <w:p>
      <w:pPr>
        <w:pStyle w:val="Heading2"/>
      </w:pPr>
      <w:bookmarkStart w:id="1278" w:name="_TocAnchor98_1277"/>
      <w:r>
        <w:t xml:space="preserve">7. Базовый набор из 34 контрольных проверок</w:t>
      </w:r>
      <w:bookmarkEnd w:id="1278"/>
    </w:p>
    <w:p>
      <w:pPr>
        <w:pStyle w:val="FirstParagraph"/>
      </w:pPr>
      <w:r>
        <w:t xml:space="preserve">Эти 34 пункта служат базовым маршрутом проверки частых рисков и не являются полным чек-листом WCAG 2.2 A/AA. Для заявления о профиле AA оценщик обязан пройти все 55 действующих критериев A и AA по приложению</w:t>
      </w:r>
      <w:r>
        <w:t xml:space="preserve"> </w:t>
      </w:r>
      <w:hyperlink r:id="rId53">
        <w:r>
          <w:rPr>
            <w:rStyle w:val="Hyperlink"/>
          </w:rPr>
          <w:t xml:space="preserve">«Протоколы проверок WCAG 2.2 A/AA»</w:t>
        </w:r>
      </w:hyperlink>
      <w:r>
        <w:t xml:space="preserve"> </w:t>
      </w:r>
      <w:r>
        <w:t xml:space="preserve">и связать каждый результат с единицей выборки, состоянием и доказательством. Исключенный критерий 4.1.1 в число 55 не входит; критерии 2.2.6 и 2.5.6 имеют уровень AAA и не входят в обязательный профиль AA.</w:t>
      </w:r>
    </w:p>
    <w:p>
      <w:pPr>
        <w:pStyle w:val="BodyText"/>
      </w:pPr>
      <w:r>
        <w:t xml:space="preserve">Каждая проверка выполняется на применимых единицах выборки и состояниях. В колонке «Источник» WCAG означает проверяемое требование, COGA означает рекомендательное дополнение.</w:t>
      </w:r>
    </w:p>
    <w:tbl>
      <w:tblPr>
        <w:tblStyle w:val="Table"/>
        <w:tblW w:type="dxa" w:w="9638"/>
        <w:tblLayout w:type="fixed"/>
        <w:tblLook w:firstRow="1" w:lastRow="0" w:firstColumn="0" w:lastColumn="0" w:noHBand="0" w:noVBand="0" w:val="0020"/>
      </w:tblPr>
      <w:tblGrid>
        <w:gridCol w:w="610"/>
        <w:gridCol w:w="2729"/>
        <w:gridCol w:w="1509"/>
        <w:gridCol w:w="4790"/>
      </w:tblGrid>
      <w:tr>
        <w:trPr>
          <w:tblHeader w:val="true"/>
        </w:trPr>
        <w:tc>
          <w:tcPr>
            <w:tcW w:type="dxa" w:w="610"/>
          </w:tcPr>
          <w:p>
            <w:pPr>
              <w:pStyle w:val="Compact"/>
              <w:jc w:val="center"/>
            </w:pPr>
            <w:r>
              <w:rPr>
                <w:b/>
              </w:rPr>
              <w:t xml:space="preserve">№</w:t>
            </w:r>
          </w:p>
        </w:tc>
        <w:tc>
          <w:tcPr>
            <w:tcW w:type="dxa" w:w="2729"/>
          </w:tcPr>
          <w:p>
            <w:pPr>
              <w:pStyle w:val="Compact"/>
            </w:pPr>
            <w:r>
              <w:rPr>
                <w:b/>
              </w:rPr>
              <w:t xml:space="preserve">Контрольная проверка</w:t>
            </w:r>
          </w:p>
        </w:tc>
        <w:tc>
          <w:tcPr>
            <w:tcW w:type="dxa" w:w="1509"/>
          </w:tcPr>
          <w:p>
            <w:pPr>
              <w:pStyle w:val="Compact"/>
            </w:pPr>
            <w:r>
              <w:rPr>
                <w:b/>
              </w:rPr>
              <w:t xml:space="preserve">Источник</w:t>
            </w:r>
          </w:p>
        </w:tc>
        <w:tc>
          <w:tcPr>
            <w:tcW w:type="dxa" w:w="4790"/>
          </w:tcPr>
          <w:p>
            <w:pPr>
              <w:pStyle w:val="Compact"/>
            </w:pPr>
            <w:r>
              <w:rPr>
                <w:b/>
              </w:rPr>
              <w:t xml:space="preserve">Ожидаемый результат</w:t>
            </w:r>
          </w:p>
        </w:tc>
      </w:tr>
      <w:tr>
        <w:tc>
          <w:tcPr>
            <w:tcW w:type="dxa" w:w="610"/>
          </w:tcPr>
          <w:p>
            <w:pPr>
              <w:pStyle w:val="Compact"/>
              <w:jc w:val="center"/>
            </w:pPr>
            <w:r>
              <w:t xml:space="preserve">1</w:t>
            </w:r>
          </w:p>
        </w:tc>
        <w:tc>
          <w:tcPr>
            <w:tcW w:type="dxa" w:w="2729"/>
          </w:tcPr>
          <w:p>
            <w:pPr>
              <w:pStyle w:val="Compact"/>
            </w:pPr>
            <w:r>
              <w:t xml:space="preserve">Значимые изображения, иконки и графики</w:t>
            </w:r>
          </w:p>
        </w:tc>
        <w:tc>
          <w:tcPr>
            <w:tcW w:type="dxa" w:w="1509"/>
          </w:tcPr>
          <w:p>
            <w:pPr>
              <w:pStyle w:val="Compact"/>
            </w:pPr>
            <w:hyperlink r:id="rId54">
              <w:r>
                <w:rPr>
                  <w:rStyle w:val="Hyperlink"/>
                </w:rPr>
                <w:t xml:space="preserve">WCAG 1.1.1</w:t>
              </w:r>
            </w:hyperlink>
          </w:p>
        </w:tc>
        <w:tc>
          <w:tcPr>
            <w:tcW w:type="dxa" w:w="4790"/>
          </w:tcPr>
          <w:p>
            <w:pPr>
              <w:pStyle w:val="Compact"/>
            </w:pPr>
            <w:r>
              <w:t xml:space="preserve">Доступная текстовая альтернатива передает назначение или информацию; декоративное содержимое игнорируется вспомогательной технологией</w:t>
            </w:r>
          </w:p>
        </w:tc>
      </w:tr>
      <w:tr>
        <w:tc>
          <w:tcPr>
            <w:tcW w:type="dxa" w:w="610"/>
          </w:tcPr>
          <w:p>
            <w:pPr>
              <w:pStyle w:val="Compact"/>
              <w:jc w:val="center"/>
            </w:pPr>
            <w:r>
              <w:t xml:space="preserve">2</w:t>
            </w:r>
          </w:p>
        </w:tc>
        <w:tc>
          <w:tcPr>
            <w:tcW w:type="dxa" w:w="2729"/>
          </w:tcPr>
          <w:p>
            <w:pPr>
              <w:pStyle w:val="Compact"/>
            </w:pPr>
            <w:r>
              <w:t xml:space="preserve">Заголовки, списки, области и таблицы</w:t>
            </w:r>
          </w:p>
        </w:tc>
        <w:tc>
          <w:tcPr>
            <w:tcW w:type="dxa" w:w="1509"/>
          </w:tcPr>
          <w:p>
            <w:pPr>
              <w:pStyle w:val="Compact"/>
            </w:pPr>
            <w:hyperlink r:id="rId55">
              <w:r>
                <w:rPr>
                  <w:rStyle w:val="Hyperlink"/>
                </w:rPr>
                <w:t xml:space="preserve">WCAG 1.3.1</w:t>
              </w:r>
            </w:hyperlink>
          </w:p>
        </w:tc>
        <w:tc>
          <w:tcPr>
            <w:tcW w:type="dxa" w:w="4790"/>
          </w:tcPr>
          <w:p>
            <w:pPr>
              <w:pStyle w:val="Compact"/>
            </w:pPr>
            <w:r>
              <w:t xml:space="preserve">Визуальные отношения программно определимы; порядок чтения и связи ячеек понятны</w:t>
            </w:r>
          </w:p>
        </w:tc>
      </w:tr>
      <w:tr>
        <w:tc>
          <w:tcPr>
            <w:tcW w:type="dxa" w:w="610"/>
          </w:tcPr>
          <w:p>
            <w:pPr>
              <w:pStyle w:val="Compact"/>
              <w:jc w:val="center"/>
            </w:pPr>
            <w:r>
              <w:t xml:space="preserve">3</w:t>
            </w:r>
          </w:p>
        </w:tc>
        <w:tc>
          <w:tcPr>
            <w:tcW w:type="dxa" w:w="2729"/>
          </w:tcPr>
          <w:p>
            <w:pPr>
              <w:pStyle w:val="Compact"/>
            </w:pPr>
            <w:r>
              <w:t xml:space="preserve">Осмысленная последовательность</w:t>
            </w:r>
          </w:p>
        </w:tc>
        <w:tc>
          <w:tcPr>
            <w:tcW w:type="dxa" w:w="1509"/>
          </w:tcPr>
          <w:p>
            <w:pPr>
              <w:pStyle w:val="Compact"/>
            </w:pPr>
            <w:hyperlink r:id="rId56">
              <w:r>
                <w:rPr>
                  <w:rStyle w:val="Hyperlink"/>
                </w:rPr>
                <w:t xml:space="preserve">WCAG 1.3.2</w:t>
              </w:r>
            </w:hyperlink>
          </w:p>
        </w:tc>
        <w:tc>
          <w:tcPr>
            <w:tcW w:type="dxa" w:w="4790"/>
          </w:tcPr>
          <w:p>
            <w:pPr>
              <w:pStyle w:val="Compact"/>
            </w:pPr>
            <w:r>
              <w:t xml:space="preserve">Программный порядок сохраняет смысл при линейном чтении</w:t>
            </w:r>
          </w:p>
        </w:tc>
      </w:tr>
      <w:tr>
        <w:tc>
          <w:tcPr>
            <w:tcW w:type="dxa" w:w="610"/>
          </w:tcPr>
          <w:p>
            <w:pPr>
              <w:pStyle w:val="Compact"/>
              <w:jc w:val="center"/>
            </w:pPr>
            <w:r>
              <w:t xml:space="preserve">4</w:t>
            </w:r>
          </w:p>
        </w:tc>
        <w:tc>
          <w:tcPr>
            <w:tcW w:type="dxa" w:w="2729"/>
          </w:tcPr>
          <w:p>
            <w:pPr>
              <w:pStyle w:val="Compact"/>
            </w:pPr>
            <w:r>
              <w:t xml:space="preserve">Инструкции без опоры только на форму, цвет или положение</w:t>
            </w:r>
          </w:p>
        </w:tc>
        <w:tc>
          <w:tcPr>
            <w:tcW w:type="dxa" w:w="1509"/>
          </w:tcPr>
          <w:p>
            <w:pPr>
              <w:pStyle w:val="Compact"/>
            </w:pPr>
            <w:hyperlink r:id="rId57">
              <w:r>
                <w:rPr>
                  <w:rStyle w:val="Hyperlink"/>
                </w:rPr>
                <w:t xml:space="preserve">WCAG 1.3.3</w:t>
              </w:r>
            </w:hyperlink>
            <w:r>
              <w:t xml:space="preserve">,</w:t>
            </w:r>
            <w:r>
              <w:t xml:space="preserve"> </w:t>
            </w:r>
            <w:hyperlink r:id="rId58">
              <w:r>
                <w:rPr>
                  <w:rStyle w:val="Hyperlink"/>
                </w:rPr>
                <w:t xml:space="preserve">1.4.1</w:t>
              </w:r>
            </w:hyperlink>
          </w:p>
        </w:tc>
        <w:tc>
          <w:tcPr>
            <w:tcW w:type="dxa" w:w="4790"/>
          </w:tcPr>
          <w:p>
            <w:pPr>
              <w:pStyle w:val="Compact"/>
            </w:pPr>
            <w:r>
              <w:t xml:space="preserve">Пользователь определяет требуемый элемент без восприятия конкретного цвета, формы или координаты</w:t>
            </w:r>
          </w:p>
        </w:tc>
      </w:tr>
      <w:tr>
        <w:tc>
          <w:tcPr>
            <w:tcW w:type="dxa" w:w="610"/>
          </w:tcPr>
          <w:p>
            <w:pPr>
              <w:pStyle w:val="Compact"/>
              <w:jc w:val="center"/>
            </w:pPr>
            <w:r>
              <w:t xml:space="preserve">5</w:t>
            </w:r>
          </w:p>
        </w:tc>
        <w:tc>
          <w:tcPr>
            <w:tcW w:type="dxa" w:w="2729"/>
          </w:tcPr>
          <w:p>
            <w:pPr>
              <w:pStyle w:val="Compact"/>
            </w:pPr>
            <w:r>
              <w:t xml:space="preserve">Контраст текста</w:t>
            </w:r>
          </w:p>
        </w:tc>
        <w:tc>
          <w:tcPr>
            <w:tcW w:type="dxa" w:w="1509"/>
          </w:tcPr>
          <w:p>
            <w:pPr>
              <w:pStyle w:val="Compact"/>
            </w:pPr>
            <w:hyperlink r:id="rId59">
              <w:r>
                <w:rPr>
                  <w:rStyle w:val="Hyperlink"/>
                </w:rPr>
                <w:t xml:space="preserve">WCAG 1.4.3</w:t>
              </w:r>
            </w:hyperlink>
          </w:p>
        </w:tc>
        <w:tc>
          <w:tcPr>
            <w:tcW w:type="dxa" w:w="4790"/>
          </w:tcPr>
          <w:p>
            <w:pPr>
              <w:pStyle w:val="Compact"/>
            </w:pPr>
            <w:r>
              <w:t xml:space="preserve">Обычный текст не ниже 4.5:1, крупный не ниже 3:1, с учетом исключений критерия</w:t>
            </w:r>
          </w:p>
        </w:tc>
      </w:tr>
      <w:tr>
        <w:tc>
          <w:tcPr>
            <w:tcW w:type="dxa" w:w="610"/>
          </w:tcPr>
          <w:p>
            <w:pPr>
              <w:pStyle w:val="Compact"/>
              <w:jc w:val="center"/>
            </w:pPr>
            <w:r>
              <w:t xml:space="preserve">6</w:t>
            </w:r>
          </w:p>
        </w:tc>
        <w:tc>
          <w:tcPr>
            <w:tcW w:type="dxa" w:w="2729"/>
          </w:tcPr>
          <w:p>
            <w:pPr>
              <w:pStyle w:val="Compact"/>
            </w:pPr>
            <w:r>
              <w:t xml:space="preserve">Контраст компонентов и графики</w:t>
            </w:r>
          </w:p>
        </w:tc>
        <w:tc>
          <w:tcPr>
            <w:tcW w:type="dxa" w:w="1509"/>
          </w:tcPr>
          <w:p>
            <w:pPr>
              <w:pStyle w:val="Compact"/>
            </w:pPr>
            <w:hyperlink r:id="rId60">
              <w:r>
                <w:rPr>
                  <w:rStyle w:val="Hyperlink"/>
                </w:rPr>
                <w:t xml:space="preserve">WCAG 1.4.11</w:t>
              </w:r>
            </w:hyperlink>
          </w:p>
        </w:tc>
        <w:tc>
          <w:tcPr>
            <w:tcW w:type="dxa" w:w="4790"/>
          </w:tcPr>
          <w:p>
            <w:pPr>
              <w:pStyle w:val="Compact"/>
            </w:pPr>
            <w:r>
              <w:t xml:space="preserve">Необходимые границы, состояния и значимые графические объекты достигают 3:1 с соседними цветами</w:t>
            </w:r>
          </w:p>
        </w:tc>
      </w:tr>
      <w:tr>
        <w:tc>
          <w:tcPr>
            <w:tcW w:type="dxa" w:w="610"/>
          </w:tcPr>
          <w:p>
            <w:pPr>
              <w:pStyle w:val="Compact"/>
              <w:jc w:val="center"/>
            </w:pPr>
            <w:r>
              <w:t xml:space="preserve">7</w:t>
            </w:r>
          </w:p>
        </w:tc>
        <w:tc>
          <w:tcPr>
            <w:tcW w:type="dxa" w:w="2729"/>
          </w:tcPr>
          <w:p>
            <w:pPr>
              <w:pStyle w:val="Compact"/>
            </w:pPr>
            <w:r>
              <w:t xml:space="preserve">Увеличение текста</w:t>
            </w:r>
          </w:p>
        </w:tc>
        <w:tc>
          <w:tcPr>
            <w:tcW w:type="dxa" w:w="1509"/>
          </w:tcPr>
          <w:p>
            <w:pPr>
              <w:pStyle w:val="Compact"/>
            </w:pPr>
            <w:hyperlink r:id="rId61">
              <w:r>
                <w:rPr>
                  <w:rStyle w:val="Hyperlink"/>
                </w:rPr>
                <w:t xml:space="preserve">WCAG 1.4.4</w:t>
              </w:r>
            </w:hyperlink>
          </w:p>
        </w:tc>
        <w:tc>
          <w:tcPr>
            <w:tcW w:type="dxa" w:w="4790"/>
          </w:tcPr>
          <w:p>
            <w:pPr>
              <w:pStyle w:val="Compact"/>
            </w:pPr>
            <w:r>
              <w:t xml:space="preserve">При 200% нет потери содержания или функции, кроме предусмотренных исключений</w:t>
            </w:r>
          </w:p>
        </w:tc>
      </w:tr>
      <w:tr>
        <w:tc>
          <w:tcPr>
            <w:tcW w:type="dxa" w:w="610"/>
          </w:tcPr>
          <w:p>
            <w:pPr>
              <w:pStyle w:val="Compact"/>
              <w:jc w:val="center"/>
            </w:pPr>
            <w:r>
              <w:t xml:space="preserve">8</w:t>
            </w:r>
          </w:p>
        </w:tc>
        <w:tc>
          <w:tcPr>
            <w:tcW w:type="dxa" w:w="2729"/>
          </w:tcPr>
          <w:p>
            <w:pPr>
              <w:pStyle w:val="Compact"/>
            </w:pPr>
            <w:r>
              <w:t xml:space="preserve">Reflow</w:t>
            </w:r>
          </w:p>
        </w:tc>
        <w:tc>
          <w:tcPr>
            <w:tcW w:type="dxa" w:w="1509"/>
          </w:tcPr>
          <w:p>
            <w:pPr>
              <w:pStyle w:val="Compact"/>
            </w:pPr>
            <w:hyperlink r:id="rId62">
              <w:r>
                <w:rPr>
                  <w:rStyle w:val="Hyperlink"/>
                </w:rPr>
                <w:t xml:space="preserve">WCAG 1.4.10</w:t>
              </w:r>
            </w:hyperlink>
          </w:p>
        </w:tc>
        <w:tc>
          <w:tcPr>
            <w:tcW w:type="dxa" w:w="4790"/>
          </w:tcPr>
          <w:p>
            <w:pPr>
              <w:pStyle w:val="Compact"/>
            </w:pPr>
            <w:r>
              <w:t xml:space="preserve">При эквиваленте 320 CSS-пикселей нет двумерной прокрутки для обычного содержимого и ничего не обрезано</w:t>
            </w:r>
          </w:p>
        </w:tc>
      </w:tr>
      <w:tr>
        <w:tc>
          <w:tcPr>
            <w:tcW w:type="dxa" w:w="610"/>
          </w:tcPr>
          <w:p>
            <w:pPr>
              <w:pStyle w:val="Compact"/>
              <w:jc w:val="center"/>
            </w:pPr>
            <w:r>
              <w:t xml:space="preserve">9</w:t>
            </w:r>
          </w:p>
        </w:tc>
        <w:tc>
          <w:tcPr>
            <w:tcW w:type="dxa" w:w="2729"/>
          </w:tcPr>
          <w:p>
            <w:pPr>
              <w:pStyle w:val="Compact"/>
            </w:pPr>
            <w:r>
              <w:t xml:space="preserve">Изменение интервалов текста</w:t>
            </w:r>
          </w:p>
        </w:tc>
        <w:tc>
          <w:tcPr>
            <w:tcW w:type="dxa" w:w="1509"/>
          </w:tcPr>
          <w:p>
            <w:pPr>
              <w:pStyle w:val="Compact"/>
            </w:pPr>
            <w:hyperlink r:id="rId63">
              <w:r>
                <w:rPr>
                  <w:rStyle w:val="Hyperlink"/>
                </w:rPr>
                <w:t xml:space="preserve">WCAG 1.4.12</w:t>
              </w:r>
            </w:hyperlink>
          </w:p>
        </w:tc>
        <w:tc>
          <w:tcPr>
            <w:tcW w:type="dxa" w:w="4790"/>
          </w:tcPr>
          <w:p>
            <w:pPr>
              <w:pStyle w:val="Compact"/>
            </w:pPr>
            <w:r>
              <w:t xml:space="preserve">Заданные критерием интервалы не вызывают потери содержимого или функции</w:t>
            </w:r>
          </w:p>
        </w:tc>
      </w:tr>
      <w:tr>
        <w:tc>
          <w:tcPr>
            <w:tcW w:type="dxa" w:w="610"/>
          </w:tcPr>
          <w:p>
            <w:pPr>
              <w:pStyle w:val="Compact"/>
              <w:jc w:val="center"/>
            </w:pPr>
            <w:r>
              <w:t xml:space="preserve">10</w:t>
            </w:r>
          </w:p>
        </w:tc>
        <w:tc>
          <w:tcPr>
            <w:tcW w:type="dxa" w:w="2729"/>
          </w:tcPr>
          <w:p>
            <w:pPr>
              <w:pStyle w:val="Compact"/>
            </w:pPr>
            <w:r>
              <w:t xml:space="preserve">Клавиатурная доступность</w:t>
            </w:r>
          </w:p>
        </w:tc>
        <w:tc>
          <w:tcPr>
            <w:tcW w:type="dxa" w:w="1509"/>
          </w:tcPr>
          <w:p>
            <w:pPr>
              <w:pStyle w:val="Compact"/>
            </w:pPr>
            <w:hyperlink r:id="rId64">
              <w:r>
                <w:rPr>
                  <w:rStyle w:val="Hyperlink"/>
                </w:rPr>
                <w:t xml:space="preserve">WCAG 2.1.1</w:t>
              </w:r>
            </w:hyperlink>
          </w:p>
        </w:tc>
        <w:tc>
          <w:tcPr>
            <w:tcW w:type="dxa" w:w="4790"/>
          </w:tcPr>
          <w:p>
            <w:pPr>
              <w:pStyle w:val="Compact"/>
            </w:pPr>
            <w:r>
              <w:t xml:space="preserve">Все функции выполняются через клавиатурный интерфейс без имитации указателя</w:t>
            </w:r>
          </w:p>
        </w:tc>
      </w:tr>
      <w:tr>
        <w:tc>
          <w:tcPr>
            <w:tcW w:type="dxa" w:w="610"/>
          </w:tcPr>
          <w:p>
            <w:pPr>
              <w:pStyle w:val="Compact"/>
              <w:jc w:val="center"/>
            </w:pPr>
            <w:r>
              <w:t xml:space="preserve">11</w:t>
            </w:r>
          </w:p>
        </w:tc>
        <w:tc>
          <w:tcPr>
            <w:tcW w:type="dxa" w:w="2729"/>
          </w:tcPr>
          <w:p>
            <w:pPr>
              <w:pStyle w:val="Compact"/>
            </w:pPr>
            <w:r>
              <w:t xml:space="preserve">Отсутствие ловушки</w:t>
            </w:r>
          </w:p>
        </w:tc>
        <w:tc>
          <w:tcPr>
            <w:tcW w:type="dxa" w:w="1509"/>
          </w:tcPr>
          <w:p>
            <w:pPr>
              <w:pStyle w:val="Compact"/>
            </w:pPr>
            <w:hyperlink r:id="rId65">
              <w:r>
                <w:rPr>
                  <w:rStyle w:val="Hyperlink"/>
                </w:rPr>
                <w:t xml:space="preserve">WCAG 2.1.2</w:t>
              </w:r>
            </w:hyperlink>
          </w:p>
        </w:tc>
        <w:tc>
          <w:tcPr>
            <w:tcW w:type="dxa" w:w="4790"/>
          </w:tcPr>
          <w:p>
            <w:pPr>
              <w:pStyle w:val="Compact"/>
            </w:pPr>
            <w:r>
              <w:t xml:space="preserve">Фокус можно перевести в компонент и вывести из него стандартным или документированным способом</w:t>
            </w:r>
          </w:p>
        </w:tc>
      </w:tr>
      <w:tr>
        <w:tc>
          <w:tcPr>
            <w:tcW w:type="dxa" w:w="610"/>
          </w:tcPr>
          <w:p>
            <w:pPr>
              <w:pStyle w:val="Compact"/>
              <w:jc w:val="center"/>
            </w:pPr>
            <w:r>
              <w:t xml:space="preserve">12</w:t>
            </w:r>
          </w:p>
        </w:tc>
        <w:tc>
          <w:tcPr>
            <w:tcW w:type="dxa" w:w="2729"/>
          </w:tcPr>
          <w:p>
            <w:pPr>
              <w:pStyle w:val="Compact"/>
            </w:pPr>
            <w:r>
              <w:t xml:space="preserve">Управление движущимся и обновляющимся содержимым</w:t>
            </w:r>
          </w:p>
        </w:tc>
        <w:tc>
          <w:tcPr>
            <w:tcW w:type="dxa" w:w="1509"/>
          </w:tcPr>
          <w:p>
            <w:pPr>
              <w:pStyle w:val="Compact"/>
            </w:pPr>
            <w:hyperlink r:id="rId66">
              <w:r>
                <w:rPr>
                  <w:rStyle w:val="Hyperlink"/>
                </w:rPr>
                <w:t xml:space="preserve">WCAG 2.2.2</w:t>
              </w:r>
            </w:hyperlink>
          </w:p>
        </w:tc>
        <w:tc>
          <w:tcPr>
            <w:tcW w:type="dxa" w:w="4790"/>
          </w:tcPr>
          <w:p>
            <w:pPr>
              <w:pStyle w:val="Compact"/>
            </w:pPr>
            <w:r>
              <w:t xml:space="preserve">Пользователь может остановить, скрыть или управлять частотой применимого движения и обновления</w:t>
            </w:r>
          </w:p>
        </w:tc>
      </w:tr>
      <w:tr>
        <w:tc>
          <w:tcPr>
            <w:tcW w:type="dxa" w:w="610"/>
          </w:tcPr>
          <w:p>
            <w:pPr>
              <w:pStyle w:val="Compact"/>
              <w:jc w:val="center"/>
            </w:pPr>
            <w:r>
              <w:t xml:space="preserve">13</w:t>
            </w:r>
          </w:p>
        </w:tc>
        <w:tc>
          <w:tcPr>
            <w:tcW w:type="dxa" w:w="2729"/>
          </w:tcPr>
          <w:p>
            <w:pPr>
              <w:pStyle w:val="Compact"/>
            </w:pPr>
            <w:r>
              <w:t xml:space="preserve">Мигание</w:t>
            </w:r>
          </w:p>
        </w:tc>
        <w:tc>
          <w:tcPr>
            <w:tcW w:type="dxa" w:w="1509"/>
          </w:tcPr>
          <w:p>
            <w:pPr>
              <w:pStyle w:val="Compact"/>
            </w:pPr>
            <w:hyperlink r:id="rId67">
              <w:r>
                <w:rPr>
                  <w:rStyle w:val="Hyperlink"/>
                </w:rPr>
                <w:t xml:space="preserve">WCAG 2.3.1</w:t>
              </w:r>
            </w:hyperlink>
          </w:p>
        </w:tc>
        <w:tc>
          <w:tcPr>
            <w:tcW w:type="dxa" w:w="4790"/>
          </w:tcPr>
          <w:p>
            <w:pPr>
              <w:pStyle w:val="Compact"/>
            </w:pPr>
            <w:r>
              <w:t xml:space="preserve">Нет мигания чаще трех раз в секунду либо оно ниже установленных порогов</w:t>
            </w:r>
          </w:p>
        </w:tc>
      </w:tr>
      <w:tr>
        <w:tc>
          <w:tcPr>
            <w:tcW w:type="dxa" w:w="610"/>
          </w:tcPr>
          <w:p>
            <w:pPr>
              <w:pStyle w:val="Compact"/>
              <w:jc w:val="center"/>
            </w:pPr>
            <w:r>
              <w:t xml:space="preserve">14</w:t>
            </w:r>
          </w:p>
        </w:tc>
        <w:tc>
          <w:tcPr>
            <w:tcW w:type="dxa" w:w="2729"/>
          </w:tcPr>
          <w:p>
            <w:pPr>
              <w:pStyle w:val="Compact"/>
            </w:pPr>
            <w:r>
              <w:t xml:space="preserve">Порядок фокуса</w:t>
            </w:r>
          </w:p>
        </w:tc>
        <w:tc>
          <w:tcPr>
            <w:tcW w:type="dxa" w:w="1509"/>
          </w:tcPr>
          <w:p>
            <w:pPr>
              <w:pStyle w:val="Compact"/>
            </w:pPr>
            <w:hyperlink r:id="rId68">
              <w:r>
                <w:rPr>
                  <w:rStyle w:val="Hyperlink"/>
                </w:rPr>
                <w:t xml:space="preserve">WCAG 2.4.3</w:t>
              </w:r>
            </w:hyperlink>
          </w:p>
        </w:tc>
        <w:tc>
          <w:tcPr>
            <w:tcW w:type="dxa" w:w="4790"/>
          </w:tcPr>
          <w:p>
            <w:pPr>
              <w:pStyle w:val="Compact"/>
            </w:pPr>
            <w:r>
              <w:t xml:space="preserve">Переход фокуса сохраняет смысл и управляемость, включая модальные окна и возврат</w:t>
            </w:r>
          </w:p>
        </w:tc>
      </w:tr>
      <w:tr>
        <w:tc>
          <w:tcPr>
            <w:tcW w:type="dxa" w:w="610"/>
          </w:tcPr>
          <w:p>
            <w:pPr>
              <w:pStyle w:val="Compact"/>
              <w:jc w:val="center"/>
            </w:pPr>
            <w:r>
              <w:t xml:space="preserve">15</w:t>
            </w:r>
          </w:p>
        </w:tc>
        <w:tc>
          <w:tcPr>
            <w:tcW w:type="dxa" w:w="2729"/>
          </w:tcPr>
          <w:p>
            <w:pPr>
              <w:pStyle w:val="Compact"/>
            </w:pPr>
            <w:r>
              <w:t xml:space="preserve">Назначение ссылок</w:t>
            </w:r>
          </w:p>
        </w:tc>
        <w:tc>
          <w:tcPr>
            <w:tcW w:type="dxa" w:w="1509"/>
          </w:tcPr>
          <w:p>
            <w:pPr>
              <w:pStyle w:val="Compact"/>
            </w:pPr>
            <w:hyperlink r:id="rId69">
              <w:r>
                <w:rPr>
                  <w:rStyle w:val="Hyperlink"/>
                </w:rPr>
                <w:t xml:space="preserve">WCAG 2.4.4</w:t>
              </w:r>
            </w:hyperlink>
          </w:p>
        </w:tc>
        <w:tc>
          <w:tcPr>
            <w:tcW w:type="dxa" w:w="4790"/>
          </w:tcPr>
          <w:p>
            <w:pPr>
              <w:pStyle w:val="Compact"/>
            </w:pPr>
            <w:r>
              <w:t xml:space="preserve">Назначение каждой ссылки понятно из текста и программно связанного контекста</w:t>
            </w:r>
          </w:p>
        </w:tc>
      </w:tr>
      <w:tr>
        <w:tc>
          <w:tcPr>
            <w:tcW w:type="dxa" w:w="610"/>
          </w:tcPr>
          <w:p>
            <w:pPr>
              <w:pStyle w:val="Compact"/>
              <w:jc w:val="center"/>
            </w:pPr>
            <w:r>
              <w:t xml:space="preserve">16</w:t>
            </w:r>
          </w:p>
        </w:tc>
        <w:tc>
          <w:tcPr>
            <w:tcW w:type="dxa" w:w="2729"/>
          </w:tcPr>
          <w:p>
            <w:pPr>
              <w:pStyle w:val="Compact"/>
            </w:pPr>
            <w:r>
              <w:t xml:space="preserve">Видимость и перекрытие фокуса</w:t>
            </w:r>
          </w:p>
        </w:tc>
        <w:tc>
          <w:tcPr>
            <w:tcW w:type="dxa" w:w="1509"/>
          </w:tcPr>
          <w:p>
            <w:pPr>
              <w:pStyle w:val="Compact"/>
            </w:pPr>
            <w:hyperlink r:id="rId70">
              <w:r>
                <w:rPr>
                  <w:rStyle w:val="Hyperlink"/>
                </w:rPr>
                <w:t xml:space="preserve">WCAG 2.4.7</w:t>
              </w:r>
            </w:hyperlink>
            <w:r>
              <w:t xml:space="preserve">,</w:t>
            </w:r>
            <w:r>
              <w:t xml:space="preserve"> </w:t>
            </w:r>
            <w:hyperlink r:id="rId71">
              <w:r>
                <w:rPr>
                  <w:rStyle w:val="Hyperlink"/>
                </w:rPr>
                <w:t xml:space="preserve">2.4.11</w:t>
              </w:r>
            </w:hyperlink>
          </w:p>
        </w:tc>
        <w:tc>
          <w:tcPr>
            <w:tcW w:type="dxa" w:w="4790"/>
          </w:tcPr>
          <w:p>
            <w:pPr>
              <w:pStyle w:val="Compact"/>
            </w:pPr>
            <w:r>
              <w:t xml:space="preserve">Клавиатурный фокус видим и не полностью скрыт закрепленными панелями или иным авторским содержимым</w:t>
            </w:r>
          </w:p>
        </w:tc>
      </w:tr>
      <w:tr>
        <w:tc>
          <w:tcPr>
            <w:tcW w:type="dxa" w:w="610"/>
          </w:tcPr>
          <w:p>
            <w:pPr>
              <w:pStyle w:val="Compact"/>
              <w:jc w:val="center"/>
            </w:pPr>
            <w:r>
              <w:t xml:space="preserve">17</w:t>
            </w:r>
          </w:p>
        </w:tc>
        <w:tc>
          <w:tcPr>
            <w:tcW w:type="dxa" w:w="2729"/>
          </w:tcPr>
          <w:p>
            <w:pPr>
              <w:pStyle w:val="Compact"/>
            </w:pPr>
            <w:r>
              <w:t xml:space="preserve">Альтернатива перетаскиванию</w:t>
            </w:r>
          </w:p>
        </w:tc>
        <w:tc>
          <w:tcPr>
            <w:tcW w:type="dxa" w:w="1509"/>
          </w:tcPr>
          <w:p>
            <w:pPr>
              <w:pStyle w:val="Compact"/>
            </w:pPr>
            <w:hyperlink r:id="rId72">
              <w:r>
                <w:rPr>
                  <w:rStyle w:val="Hyperlink"/>
                </w:rPr>
                <w:t xml:space="preserve">WCAG 2.5.7</w:t>
              </w:r>
            </w:hyperlink>
          </w:p>
        </w:tc>
        <w:tc>
          <w:tcPr>
            <w:tcW w:type="dxa" w:w="4790"/>
          </w:tcPr>
          <w:p>
            <w:pPr>
              <w:pStyle w:val="Compact"/>
            </w:pPr>
            <w:r>
              <w:t xml:space="preserve">Функция, требующая drag, доступна действием одного указателя, если drag не является существенным</w:t>
            </w:r>
          </w:p>
        </w:tc>
      </w:tr>
      <w:tr>
        <w:tc>
          <w:tcPr>
            <w:tcW w:type="dxa" w:w="610"/>
          </w:tcPr>
          <w:p>
            <w:pPr>
              <w:pStyle w:val="Compact"/>
              <w:jc w:val="center"/>
            </w:pPr>
            <w:r>
              <w:t xml:space="preserve">18</w:t>
            </w:r>
          </w:p>
        </w:tc>
        <w:tc>
          <w:tcPr>
            <w:tcW w:type="dxa" w:w="2729"/>
          </w:tcPr>
          <w:p>
            <w:pPr>
              <w:pStyle w:val="Compact"/>
            </w:pPr>
            <w:r>
              <w:t xml:space="preserve">Размер цели</w:t>
            </w:r>
          </w:p>
        </w:tc>
        <w:tc>
          <w:tcPr>
            <w:tcW w:type="dxa" w:w="1509"/>
          </w:tcPr>
          <w:p>
            <w:pPr>
              <w:pStyle w:val="Compact"/>
            </w:pPr>
            <w:hyperlink r:id="rId73">
              <w:r>
                <w:rPr>
                  <w:rStyle w:val="Hyperlink"/>
                </w:rPr>
                <w:t xml:space="preserve">WCAG 2.5.8</w:t>
              </w:r>
            </w:hyperlink>
          </w:p>
        </w:tc>
        <w:tc>
          <w:tcPr>
            <w:tcW w:type="dxa" w:w="4790"/>
          </w:tcPr>
          <w:p>
            <w:pPr>
              <w:pStyle w:val="Compact"/>
            </w:pPr>
            <w:r>
              <w:t xml:space="preserve">Цель имеет минимум 24 на 24 CSS-пикселя либо выполняет одно из исключений критерия</w:t>
            </w:r>
          </w:p>
        </w:tc>
      </w:tr>
      <w:tr>
        <w:tc>
          <w:tcPr>
            <w:tcW w:type="dxa" w:w="610"/>
          </w:tcPr>
          <w:p>
            <w:pPr>
              <w:pStyle w:val="Compact"/>
              <w:jc w:val="center"/>
            </w:pPr>
            <w:r>
              <w:t xml:space="preserve">19</w:t>
            </w:r>
          </w:p>
        </w:tc>
        <w:tc>
          <w:tcPr>
            <w:tcW w:type="dxa" w:w="2729"/>
          </w:tcPr>
          <w:p>
            <w:pPr>
              <w:pStyle w:val="Compact"/>
            </w:pPr>
            <w:r>
              <w:t xml:space="preserve">Совпадение видимой подписи и доступного имени</w:t>
            </w:r>
          </w:p>
        </w:tc>
        <w:tc>
          <w:tcPr>
            <w:tcW w:type="dxa" w:w="1509"/>
          </w:tcPr>
          <w:p>
            <w:pPr>
              <w:pStyle w:val="Compact"/>
            </w:pPr>
            <w:hyperlink r:id="rId74">
              <w:r>
                <w:rPr>
                  <w:rStyle w:val="Hyperlink"/>
                </w:rPr>
                <w:t xml:space="preserve">WCAG 2.5.3</w:t>
              </w:r>
            </w:hyperlink>
          </w:p>
        </w:tc>
        <w:tc>
          <w:tcPr>
            <w:tcW w:type="dxa" w:w="4790"/>
          </w:tcPr>
          <w:p>
            <w:pPr>
              <w:pStyle w:val="Compact"/>
            </w:pPr>
            <w:r>
              <w:t xml:space="preserve">Доступное имя содержит видимый текст подписи, команды голосом выбирают ожидаемый элемент</w:t>
            </w:r>
          </w:p>
        </w:tc>
      </w:tr>
      <w:tr>
        <w:tc>
          <w:tcPr>
            <w:tcW w:type="dxa" w:w="610"/>
          </w:tcPr>
          <w:p>
            <w:pPr>
              <w:pStyle w:val="Compact"/>
              <w:jc w:val="center"/>
            </w:pPr>
            <w:r>
              <w:t xml:space="preserve">20</w:t>
            </w:r>
          </w:p>
        </w:tc>
        <w:tc>
          <w:tcPr>
            <w:tcW w:type="dxa" w:w="2729"/>
          </w:tcPr>
          <w:p>
            <w:pPr>
              <w:pStyle w:val="Compact"/>
            </w:pPr>
            <w:r>
              <w:t xml:space="preserve">Язык страницы и фрагментов</w:t>
            </w:r>
          </w:p>
        </w:tc>
        <w:tc>
          <w:tcPr>
            <w:tcW w:type="dxa" w:w="1509"/>
          </w:tcPr>
          <w:p>
            <w:pPr>
              <w:pStyle w:val="Compact"/>
            </w:pPr>
            <w:hyperlink r:id="rId75">
              <w:r>
                <w:rPr>
                  <w:rStyle w:val="Hyperlink"/>
                </w:rPr>
                <w:t xml:space="preserve">WCAG 3.1.1</w:t>
              </w:r>
            </w:hyperlink>
            <w:r>
              <w:t xml:space="preserve">,</w:t>
            </w:r>
            <w:r>
              <w:t xml:space="preserve"> </w:t>
            </w:r>
            <w:hyperlink r:id="rId76">
              <w:r>
                <w:rPr>
                  <w:rStyle w:val="Hyperlink"/>
                </w:rPr>
                <w:t xml:space="preserve">3.1.2</w:t>
              </w:r>
            </w:hyperlink>
          </w:p>
        </w:tc>
        <w:tc>
          <w:tcPr>
            <w:tcW w:type="dxa" w:w="4790"/>
          </w:tcPr>
          <w:p>
            <w:pPr>
              <w:pStyle w:val="Compact"/>
            </w:pPr>
            <w:r>
              <w:t xml:space="preserve">Основной язык и отличающиеся фрагменты программно определимы</w:t>
            </w:r>
          </w:p>
        </w:tc>
      </w:tr>
      <w:tr>
        <w:tc>
          <w:tcPr>
            <w:tcW w:type="dxa" w:w="610"/>
          </w:tcPr>
          <w:p>
            <w:pPr>
              <w:pStyle w:val="Compact"/>
              <w:jc w:val="center"/>
            </w:pPr>
            <w:r>
              <w:t xml:space="preserve">21</w:t>
            </w:r>
          </w:p>
        </w:tc>
        <w:tc>
          <w:tcPr>
            <w:tcW w:type="dxa" w:w="2729"/>
          </w:tcPr>
          <w:p>
            <w:pPr>
              <w:pStyle w:val="Compact"/>
            </w:pPr>
            <w:r>
              <w:t xml:space="preserve">Предсказуемое поведение</w:t>
            </w:r>
          </w:p>
        </w:tc>
        <w:tc>
          <w:tcPr>
            <w:tcW w:type="dxa" w:w="1509"/>
          </w:tcPr>
          <w:p>
            <w:pPr>
              <w:pStyle w:val="Compact"/>
            </w:pPr>
            <w:hyperlink r:id="rId77">
              <w:r>
                <w:rPr>
                  <w:rStyle w:val="Hyperlink"/>
                </w:rPr>
                <w:t xml:space="preserve">WCAG 3.2.1</w:t>
              </w:r>
            </w:hyperlink>
            <w:r>
              <w:t xml:space="preserve">,</w:t>
            </w:r>
            <w:r>
              <w:t xml:space="preserve"> </w:t>
            </w:r>
            <w:hyperlink r:id="rId78">
              <w:r>
                <w:rPr>
                  <w:rStyle w:val="Hyperlink"/>
                </w:rPr>
                <w:t xml:space="preserve">3.2.2</w:t>
              </w:r>
            </w:hyperlink>
          </w:p>
        </w:tc>
        <w:tc>
          <w:tcPr>
            <w:tcW w:type="dxa" w:w="4790"/>
          </w:tcPr>
          <w:p>
            <w:pPr>
              <w:pStyle w:val="Compact"/>
            </w:pPr>
            <w:r>
              <w:t xml:space="preserve">Получение фокуса не вызывает смену контекста; изменение настройки компонента не вызывает ее автоматически, кроме случая, когда пользователь был предупрежден до использования компонента</w:t>
            </w:r>
          </w:p>
        </w:tc>
      </w:tr>
      <w:tr>
        <w:tc>
          <w:tcPr>
            <w:tcW w:type="dxa" w:w="610"/>
          </w:tcPr>
          <w:p>
            <w:pPr>
              <w:pStyle w:val="Compact"/>
              <w:jc w:val="center"/>
            </w:pPr>
            <w:r>
              <w:t xml:space="preserve">22</w:t>
            </w:r>
          </w:p>
        </w:tc>
        <w:tc>
          <w:tcPr>
            <w:tcW w:type="dxa" w:w="2729"/>
          </w:tcPr>
          <w:p>
            <w:pPr>
              <w:pStyle w:val="Compact"/>
            </w:pPr>
            <w:r>
              <w:t xml:space="preserve">Последовательная навигация, идентификация и помощь</w:t>
            </w:r>
          </w:p>
        </w:tc>
        <w:tc>
          <w:tcPr>
            <w:tcW w:type="dxa" w:w="1509"/>
          </w:tcPr>
          <w:p>
            <w:pPr>
              <w:pStyle w:val="Compact"/>
            </w:pPr>
            <w:hyperlink r:id="rId79">
              <w:r>
                <w:rPr>
                  <w:rStyle w:val="Hyperlink"/>
                </w:rPr>
                <w:t xml:space="preserve">WCAG 3.2.3</w:t>
              </w:r>
            </w:hyperlink>
            <w:r>
              <w:t xml:space="preserve">,</w:t>
            </w:r>
            <w:r>
              <w:t xml:space="preserve"> </w:t>
            </w:r>
            <w:hyperlink r:id="rId80">
              <w:r>
                <w:rPr>
                  <w:rStyle w:val="Hyperlink"/>
                </w:rPr>
                <w:t xml:space="preserve">3.2.4</w:t>
              </w:r>
            </w:hyperlink>
            <w:r>
              <w:t xml:space="preserve">,</w:t>
            </w:r>
            <w:r>
              <w:t xml:space="preserve"> </w:t>
            </w:r>
            <w:hyperlink r:id="rId81">
              <w:r>
                <w:rPr>
                  <w:rStyle w:val="Hyperlink"/>
                </w:rPr>
                <w:t xml:space="preserve">3.2.6</w:t>
              </w:r>
            </w:hyperlink>
          </w:p>
        </w:tc>
        <w:tc>
          <w:tcPr>
            <w:tcW w:type="dxa" w:w="4790"/>
          </w:tcPr>
          <w:p>
            <w:pPr>
              <w:pStyle w:val="Compact"/>
            </w:pPr>
            <w:r>
              <w:t xml:space="preserve">Повторяющиеся элементы сохраняют порядок и название, механизмы помощи находятся в согласованном месте</w:t>
            </w:r>
          </w:p>
        </w:tc>
      </w:tr>
      <w:tr>
        <w:tc>
          <w:tcPr>
            <w:tcW w:type="dxa" w:w="610"/>
          </w:tcPr>
          <w:p>
            <w:pPr>
              <w:pStyle w:val="Compact"/>
              <w:jc w:val="center"/>
            </w:pPr>
            <w:r>
              <w:t xml:space="preserve">23</w:t>
            </w:r>
          </w:p>
        </w:tc>
        <w:tc>
          <w:tcPr>
            <w:tcW w:type="dxa" w:w="2729"/>
          </w:tcPr>
          <w:p>
            <w:pPr>
              <w:pStyle w:val="Compact"/>
            </w:pPr>
            <w:r>
              <w:t xml:space="preserve">Подписи и инструкции формы</w:t>
            </w:r>
          </w:p>
        </w:tc>
        <w:tc>
          <w:tcPr>
            <w:tcW w:type="dxa" w:w="1509"/>
          </w:tcPr>
          <w:p>
            <w:pPr>
              <w:pStyle w:val="Compact"/>
            </w:pPr>
            <w:hyperlink r:id="rId82">
              <w:r>
                <w:rPr>
                  <w:rStyle w:val="Hyperlink"/>
                </w:rPr>
                <w:t xml:space="preserve">WCAG 3.3.2</w:t>
              </w:r>
            </w:hyperlink>
          </w:p>
        </w:tc>
        <w:tc>
          <w:tcPr>
            <w:tcW w:type="dxa" w:w="4790"/>
          </w:tcPr>
          <w:p>
            <w:pPr>
              <w:pStyle w:val="Compact"/>
            </w:pPr>
            <w:r>
              <w:t xml:space="preserve">При запросе ввода предоставлены необходимые подписи или инструкции. Постоянно видимые подписи являются дополнительным проектным правилом; результат по WCAG определяется нормативным условием</w:t>
            </w:r>
          </w:p>
        </w:tc>
      </w:tr>
      <w:tr>
        <w:tc>
          <w:tcPr>
            <w:tcW w:type="dxa" w:w="610"/>
          </w:tcPr>
          <w:p>
            <w:pPr>
              <w:pStyle w:val="Compact"/>
              <w:jc w:val="center"/>
            </w:pPr>
            <w:r>
              <w:t xml:space="preserve">24</w:t>
            </w:r>
          </w:p>
        </w:tc>
        <w:tc>
          <w:tcPr>
            <w:tcW w:type="dxa" w:w="2729"/>
          </w:tcPr>
          <w:p>
            <w:pPr>
              <w:pStyle w:val="Compact"/>
            </w:pPr>
            <w:r>
              <w:t xml:space="preserve">Обнаружение и исправление ошибки</w:t>
            </w:r>
          </w:p>
        </w:tc>
        <w:tc>
          <w:tcPr>
            <w:tcW w:type="dxa" w:w="1509"/>
          </w:tcPr>
          <w:p>
            <w:pPr>
              <w:pStyle w:val="Compact"/>
            </w:pPr>
            <w:hyperlink r:id="rId83">
              <w:r>
                <w:rPr>
                  <w:rStyle w:val="Hyperlink"/>
                </w:rPr>
                <w:t xml:space="preserve">WCAG 3.3.1</w:t>
              </w:r>
            </w:hyperlink>
            <w:r>
              <w:t xml:space="preserve">,</w:t>
            </w:r>
            <w:r>
              <w:t xml:space="preserve"> </w:t>
            </w:r>
            <w:hyperlink r:id="rId84">
              <w:r>
                <w:rPr>
                  <w:rStyle w:val="Hyperlink"/>
                </w:rPr>
                <w:t xml:space="preserve">3.3.3</w:t>
              </w:r>
            </w:hyperlink>
          </w:p>
        </w:tc>
        <w:tc>
          <w:tcPr>
            <w:tcW w:type="dxa" w:w="4790"/>
          </w:tcPr>
          <w:p>
            <w:pPr>
              <w:pStyle w:val="Compact"/>
            </w:pPr>
            <w:r>
              <w:t xml:space="preserve">Ошибка названа текстом, известный способ исправления предложен, если он существует и не угрожает безопасности; программная связь и объявление скринридером проверяются отдельно по 1.3.1, 4.1.2 и 4.1.3 в конкретной конфигурации</w:t>
            </w:r>
          </w:p>
        </w:tc>
      </w:tr>
      <w:tr>
        <w:tc>
          <w:tcPr>
            <w:tcW w:type="dxa" w:w="610"/>
          </w:tcPr>
          <w:p>
            <w:pPr>
              <w:pStyle w:val="Compact"/>
              <w:jc w:val="center"/>
            </w:pPr>
            <w:r>
              <w:t xml:space="preserve">25</w:t>
            </w:r>
          </w:p>
        </w:tc>
        <w:tc>
          <w:tcPr>
            <w:tcW w:type="dxa" w:w="2729"/>
          </w:tcPr>
          <w:p>
            <w:pPr>
              <w:pStyle w:val="Compact"/>
            </w:pPr>
            <w:r>
              <w:t xml:space="preserve">Предотвращение необратимой ошибки</w:t>
            </w:r>
          </w:p>
        </w:tc>
        <w:tc>
          <w:tcPr>
            <w:tcW w:type="dxa" w:w="1509"/>
          </w:tcPr>
          <w:p>
            <w:pPr>
              <w:pStyle w:val="Compact"/>
            </w:pPr>
            <w:hyperlink r:id="rId85">
              <w:r>
                <w:rPr>
                  <w:rStyle w:val="Hyperlink"/>
                </w:rPr>
                <w:t xml:space="preserve">WCAG 3.3.4</w:t>
              </w:r>
            </w:hyperlink>
          </w:p>
        </w:tc>
        <w:tc>
          <w:tcPr>
            <w:tcW w:type="dxa" w:w="4790"/>
          </w:tcPr>
          <w:p>
            <w:pPr>
              <w:pStyle w:val="Compact"/>
            </w:pPr>
            <w:r>
              <w:t xml:space="preserve">Для перечисленных критерием операций выполнен один из вариантов: отмена отправленного; проверка ввода и возможность исправления; либо просмотр, подтверждение и исправление до окончательной отправки</w:t>
            </w:r>
          </w:p>
        </w:tc>
      </w:tr>
      <w:tr>
        <w:tc>
          <w:tcPr>
            <w:tcW w:type="dxa" w:w="610"/>
          </w:tcPr>
          <w:p>
            <w:pPr>
              <w:pStyle w:val="Compact"/>
              <w:jc w:val="center"/>
            </w:pPr>
            <w:r>
              <w:t xml:space="preserve">26</w:t>
            </w:r>
          </w:p>
        </w:tc>
        <w:tc>
          <w:tcPr>
            <w:tcW w:type="dxa" w:w="2729"/>
          </w:tcPr>
          <w:p>
            <w:pPr>
              <w:pStyle w:val="Compact"/>
            </w:pPr>
            <w:r>
              <w:t xml:space="preserve">Исключение повторного ввода</w:t>
            </w:r>
          </w:p>
        </w:tc>
        <w:tc>
          <w:tcPr>
            <w:tcW w:type="dxa" w:w="1509"/>
          </w:tcPr>
          <w:p>
            <w:pPr>
              <w:pStyle w:val="Compact"/>
            </w:pPr>
            <w:hyperlink r:id="rId86">
              <w:r>
                <w:rPr>
                  <w:rStyle w:val="Hyperlink"/>
                </w:rPr>
                <w:t xml:space="preserve">WCAG 3.3.7</w:t>
              </w:r>
            </w:hyperlink>
          </w:p>
        </w:tc>
        <w:tc>
          <w:tcPr>
            <w:tcW w:type="dxa" w:w="4790"/>
          </w:tcPr>
          <w:p>
            <w:pPr>
              <w:pStyle w:val="Compact"/>
            </w:pPr>
            <w:r>
              <w:t xml:space="preserve">Ранее введенные в процессе данные подставляются или доступны для выбора, кроме исключений критерия</w:t>
            </w:r>
          </w:p>
        </w:tc>
      </w:tr>
      <w:tr>
        <w:tc>
          <w:tcPr>
            <w:tcW w:type="dxa" w:w="610"/>
          </w:tcPr>
          <w:p>
            <w:pPr>
              <w:pStyle w:val="Compact"/>
              <w:jc w:val="center"/>
            </w:pPr>
            <w:r>
              <w:t xml:space="preserve">27</w:t>
            </w:r>
          </w:p>
        </w:tc>
        <w:tc>
          <w:tcPr>
            <w:tcW w:type="dxa" w:w="2729"/>
          </w:tcPr>
          <w:p>
            <w:pPr>
              <w:pStyle w:val="Compact"/>
            </w:pPr>
            <w:r>
              <w:t xml:space="preserve">Доступная аутентификация</w:t>
            </w:r>
          </w:p>
        </w:tc>
        <w:tc>
          <w:tcPr>
            <w:tcW w:type="dxa" w:w="1509"/>
          </w:tcPr>
          <w:p>
            <w:pPr>
              <w:pStyle w:val="Compact"/>
            </w:pPr>
            <w:hyperlink r:id="rId87">
              <w:r>
                <w:rPr>
                  <w:rStyle w:val="Hyperlink"/>
                </w:rPr>
                <w:t xml:space="preserve">WCAG 3.3.8</w:t>
              </w:r>
            </w:hyperlink>
          </w:p>
        </w:tc>
        <w:tc>
          <w:tcPr>
            <w:tcW w:type="dxa" w:w="4790"/>
          </w:tcPr>
          <w:p>
            <w:pPr>
              <w:pStyle w:val="Compact"/>
            </w:pPr>
            <w:r>
              <w:t xml:space="preserve">Вход не требует когнитивного теста без доступной альтернативы, помощи или распознавания объектов по исключению</w:t>
            </w:r>
          </w:p>
        </w:tc>
      </w:tr>
      <w:tr>
        <w:tc>
          <w:tcPr>
            <w:tcW w:type="dxa" w:w="610"/>
          </w:tcPr>
          <w:p>
            <w:pPr>
              <w:pStyle w:val="Compact"/>
              <w:jc w:val="center"/>
            </w:pPr>
            <w:r>
              <w:t xml:space="preserve">28</w:t>
            </w:r>
          </w:p>
        </w:tc>
        <w:tc>
          <w:tcPr>
            <w:tcW w:type="dxa" w:w="2729"/>
          </w:tcPr>
          <w:p>
            <w:pPr>
              <w:pStyle w:val="Compact"/>
            </w:pPr>
            <w:r>
              <w:t xml:space="preserve">Имя, роль, значение и состояние</w:t>
            </w:r>
          </w:p>
        </w:tc>
        <w:tc>
          <w:tcPr>
            <w:tcW w:type="dxa" w:w="1509"/>
          </w:tcPr>
          <w:p>
            <w:pPr>
              <w:pStyle w:val="Compact"/>
            </w:pPr>
            <w:hyperlink r:id="rId88">
              <w:r>
                <w:rPr>
                  <w:rStyle w:val="Hyperlink"/>
                </w:rPr>
                <w:t xml:space="preserve">WCAG 4.1.2</w:t>
              </w:r>
            </w:hyperlink>
          </w:p>
        </w:tc>
        <w:tc>
          <w:tcPr>
            <w:tcW w:type="dxa" w:w="4790"/>
          </w:tcPr>
          <w:p>
            <w:pPr>
              <w:pStyle w:val="Compact"/>
            </w:pPr>
            <w:r>
              <w:t xml:space="preserve">У пользовательского компонента программно определимы имя и роль, устанавливаемые пользователем состояния/значения доступны для установки, а изменения сообщаются пользовательским агентам; фактический вывод фиксируется в заявленной конфигурации AT</w:t>
            </w:r>
          </w:p>
        </w:tc>
      </w:tr>
      <w:tr>
        <w:tc>
          <w:tcPr>
            <w:tcW w:type="dxa" w:w="610"/>
          </w:tcPr>
          <w:p>
            <w:pPr>
              <w:pStyle w:val="Compact"/>
              <w:jc w:val="center"/>
            </w:pPr>
            <w:r>
              <w:t xml:space="preserve">29</w:t>
            </w:r>
          </w:p>
        </w:tc>
        <w:tc>
          <w:tcPr>
            <w:tcW w:type="dxa" w:w="2729"/>
          </w:tcPr>
          <w:p>
            <w:pPr>
              <w:pStyle w:val="Compact"/>
            </w:pPr>
            <w:r>
              <w:t xml:space="preserve">Статусные сообщения</w:t>
            </w:r>
          </w:p>
        </w:tc>
        <w:tc>
          <w:tcPr>
            <w:tcW w:type="dxa" w:w="1509"/>
          </w:tcPr>
          <w:p>
            <w:pPr>
              <w:pStyle w:val="Compact"/>
            </w:pPr>
            <w:hyperlink r:id="rId89">
              <w:r>
                <w:rPr>
                  <w:rStyle w:val="Hyperlink"/>
                </w:rPr>
                <w:t xml:space="preserve">WCAG 4.1.3</w:t>
              </w:r>
            </w:hyperlink>
          </w:p>
        </w:tc>
        <w:tc>
          <w:tcPr>
            <w:tcW w:type="dxa" w:w="4790"/>
          </w:tcPr>
          <w:p>
            <w:pPr>
              <w:pStyle w:val="Compact"/>
            </w:pPr>
            <w:r>
              <w:t xml:space="preserve">Сообщения, отвечающие определению статуса, программно определимы так, что AT может представить их без получения фокуса; фактический вывод и поддержку проверяют отдельно</w:t>
            </w:r>
          </w:p>
        </w:tc>
      </w:tr>
      <w:tr>
        <w:tc>
          <w:tcPr>
            <w:tcW w:type="dxa" w:w="610"/>
          </w:tcPr>
          <w:p>
            <w:pPr>
              <w:pStyle w:val="Compact"/>
              <w:jc w:val="center"/>
            </w:pPr>
            <w:r>
              <w:t xml:space="preserve">30</w:t>
            </w:r>
          </w:p>
        </w:tc>
        <w:tc>
          <w:tcPr>
            <w:tcW w:type="dxa" w:w="2729"/>
          </w:tcPr>
          <w:p>
            <w:pPr>
              <w:pStyle w:val="Compact"/>
            </w:pPr>
            <w:r>
              <w:t xml:space="preserve">Раздельные проверки медиа</w:t>
            </w:r>
          </w:p>
        </w:tc>
        <w:tc>
          <w:tcPr>
            <w:tcW w:type="dxa" w:w="1509"/>
          </w:tcPr>
          <w:p>
            <w:pPr>
              <w:pStyle w:val="Compact"/>
            </w:pPr>
            <w:hyperlink r:id="rId90">
              <w:r>
                <w:rPr>
                  <w:rStyle w:val="Hyperlink"/>
                </w:rPr>
                <w:t xml:space="preserve">WCAG 1.2.1</w:t>
              </w:r>
            </w:hyperlink>
            <w:r>
              <w:t xml:space="preserve">,</w:t>
            </w:r>
            <w:r>
              <w:t xml:space="preserve"> </w:t>
            </w:r>
            <w:hyperlink r:id="rId91">
              <w:r>
                <w:rPr>
                  <w:rStyle w:val="Hyperlink"/>
                </w:rPr>
                <w:t xml:space="preserve">1.2.2</w:t>
              </w:r>
            </w:hyperlink>
            <w:r>
              <w:t xml:space="preserve">,</w:t>
            </w:r>
            <w:r>
              <w:t xml:space="preserve"> </w:t>
            </w:r>
            <w:hyperlink r:id="rId92">
              <w:r>
                <w:rPr>
                  <w:rStyle w:val="Hyperlink"/>
                </w:rPr>
                <w:t xml:space="preserve">1.2.3</w:t>
              </w:r>
            </w:hyperlink>
            <w:r>
              <w:t xml:space="preserve">,</w:t>
            </w:r>
            <w:r>
              <w:t xml:space="preserve"> </w:t>
            </w:r>
            <w:hyperlink r:id="rId93">
              <w:r>
                <w:rPr>
                  <w:rStyle w:val="Hyperlink"/>
                </w:rPr>
                <w:t xml:space="preserve">1.2.4</w:t>
              </w:r>
            </w:hyperlink>
            <w:r>
              <w:t xml:space="preserve">,</w:t>
            </w:r>
            <w:r>
              <w:t xml:space="preserve"> </w:t>
            </w:r>
            <w:hyperlink r:id="rId94">
              <w:r>
                <w:rPr>
                  <w:rStyle w:val="Hyperlink"/>
                </w:rPr>
                <w:t xml:space="preserve">1.2.5</w:t>
              </w:r>
            </w:hyperlink>
          </w:p>
        </w:tc>
        <w:tc>
          <w:tcPr>
            <w:tcW w:type="dxa" w:w="4790"/>
          </w:tcPr>
          <w:p>
            <w:pPr>
              <w:pStyle w:val="Compact"/>
            </w:pPr>
            <w:r>
              <w:t xml:space="preserve">Для каждого применимого вида отдельно фиксируются: альтернатива записанному аудио/видео, субтитры записанного видео, аудиоописание или медиальтернатива уровня A, субтитры прямого эфира и аудиоописание записанного видео уровня AA</w:t>
            </w:r>
          </w:p>
        </w:tc>
      </w:tr>
      <w:tr>
        <w:tc>
          <w:tcPr>
            <w:tcW w:type="dxa" w:w="610"/>
          </w:tcPr>
          <w:p>
            <w:pPr>
              <w:pStyle w:val="Compact"/>
              <w:jc w:val="center"/>
            </w:pPr>
            <w:r>
              <w:t xml:space="preserve">31</w:t>
            </w:r>
          </w:p>
        </w:tc>
        <w:tc>
          <w:tcPr>
            <w:tcW w:type="dxa" w:w="2729"/>
          </w:tcPr>
          <w:p>
            <w:pPr>
              <w:pStyle w:val="Compact"/>
            </w:pPr>
            <w:r>
              <w:t xml:space="preserve">Загружаемый документ и полный процесс</w:t>
            </w:r>
          </w:p>
        </w:tc>
        <w:tc>
          <w:tcPr>
            <w:tcW w:type="dxa" w:w="1509"/>
          </w:tcPr>
          <w:p>
            <w:pPr>
              <w:pStyle w:val="Compact"/>
            </w:pPr>
            <w:hyperlink r:id="rId54">
              <w:r>
                <w:rPr>
                  <w:rStyle w:val="Hyperlink"/>
                </w:rPr>
                <w:t xml:space="preserve">WCAG 1.1.1</w:t>
              </w:r>
            </w:hyperlink>
            <w:r>
              <w:t xml:space="preserve">,</w:t>
            </w:r>
            <w:r>
              <w:t xml:space="preserve"> </w:t>
            </w:r>
            <w:hyperlink r:id="rId55">
              <w:r>
                <w:rPr>
                  <w:rStyle w:val="Hyperlink"/>
                </w:rPr>
                <w:t xml:space="preserve">1.3.1</w:t>
              </w:r>
            </w:hyperlink>
            <w:r>
              <w:t xml:space="preserve">,</w:t>
            </w:r>
            <w:r>
              <w:t xml:space="preserve"> </w:t>
            </w:r>
            <w:hyperlink r:id="rId95">
              <w:r>
                <w:rPr>
                  <w:rStyle w:val="Hyperlink"/>
                </w:rPr>
                <w:t xml:space="preserve">полная страница и процесс</w:t>
              </w:r>
            </w:hyperlink>
          </w:p>
        </w:tc>
        <w:tc>
          <w:tcPr>
            <w:tcW w:type="dxa" w:w="4790"/>
          </w:tcPr>
          <w:p>
            <w:pPr>
              <w:pStyle w:val="Compact"/>
            </w:pPr>
            <w:r>
              <w:t xml:space="preserve">Для самого документа отдельно проверяются применимые критерии и профиль формата; для страницы и процесса отдельно проверяются доступность получения и равноценность альтернативы. ГОСТ Р 70176-2022 относится к PDF, а PDF/A не доказывает PDF/UA</w:t>
            </w:r>
          </w:p>
        </w:tc>
      </w:tr>
      <w:tr>
        <w:tc>
          <w:tcPr>
            <w:tcW w:type="dxa" w:w="610"/>
          </w:tcPr>
          <w:p>
            <w:pPr>
              <w:pStyle w:val="Compact"/>
              <w:jc w:val="center"/>
            </w:pPr>
            <w:r>
              <w:t xml:space="preserve">32</w:t>
            </w:r>
          </w:p>
        </w:tc>
        <w:tc>
          <w:tcPr>
            <w:tcW w:type="dxa" w:w="2729"/>
          </w:tcPr>
          <w:p>
            <w:pPr>
              <w:pStyle w:val="Compact"/>
            </w:pPr>
            <w:r>
              <w:t xml:space="preserve">Ясность и буквальность контента</w:t>
            </w:r>
          </w:p>
        </w:tc>
        <w:tc>
          <w:tcPr>
            <w:tcW w:type="dxa" w:w="1509"/>
          </w:tcPr>
          <w:p>
            <w:pPr>
              <w:pStyle w:val="Compact"/>
            </w:pPr>
            <w:hyperlink r:id="rId96">
              <w:r>
                <w:rPr>
                  <w:rStyle w:val="Hyperlink"/>
                </w:rPr>
                <w:t xml:space="preserve">COGA Design Guide</w:t>
              </w:r>
            </w:hyperlink>
          </w:p>
        </w:tc>
        <w:tc>
          <w:tcPr>
            <w:tcW w:type="dxa" w:w="4790"/>
          </w:tcPr>
          <w:p>
            <w:pPr>
              <w:pStyle w:val="Compact"/>
            </w:pPr>
            <w:r>
              <w:t xml:space="preserve">Частые слова, короткие смысловые блоки, буквальные подписи и отдельные инструкции проверены с целевыми пользователями; результат отмечен как рекомендательный</w:t>
            </w:r>
          </w:p>
        </w:tc>
      </w:tr>
      <w:tr>
        <w:tc>
          <w:tcPr>
            <w:tcW w:type="dxa" w:w="610"/>
          </w:tcPr>
          <w:p>
            <w:pPr>
              <w:pStyle w:val="Compact"/>
              <w:jc w:val="center"/>
            </w:pPr>
            <w:r>
              <w:t xml:space="preserve">33</w:t>
            </w:r>
          </w:p>
        </w:tc>
        <w:tc>
          <w:tcPr>
            <w:tcW w:type="dxa" w:w="2729"/>
          </w:tcPr>
          <w:p>
            <w:pPr>
              <w:pStyle w:val="Compact"/>
            </w:pPr>
            <w:r>
              <w:t xml:space="preserve">Профилактика ошибок, возврат и сохранение данных</w:t>
            </w:r>
          </w:p>
        </w:tc>
        <w:tc>
          <w:tcPr>
            <w:tcW w:type="dxa" w:w="1509"/>
          </w:tcPr>
          <w:p>
            <w:pPr>
              <w:pStyle w:val="Compact"/>
            </w:pPr>
            <w:hyperlink r:id="rId97">
              <w:r>
                <w:rPr>
                  <w:rStyle w:val="Hyperlink"/>
                </w:rPr>
                <w:t xml:space="preserve">COGA Objective 4</w:t>
              </w:r>
            </w:hyperlink>
          </w:p>
        </w:tc>
        <w:tc>
          <w:tcPr>
            <w:tcW w:type="dxa" w:w="4790"/>
          </w:tcPr>
          <w:p>
            <w:pPr>
              <w:pStyle w:val="Compact"/>
            </w:pPr>
            <w:r>
              <w:t xml:space="preserve">Пользователь понимает последствия, может вернуться и исправить данные без потери уже выполненной работы; проверка рекомендательная</w:t>
            </w:r>
          </w:p>
        </w:tc>
      </w:tr>
      <w:tr>
        <w:tc>
          <w:tcPr>
            <w:tcW w:type="dxa" w:w="610"/>
          </w:tcPr>
          <w:p>
            <w:pPr>
              <w:pStyle w:val="Compact"/>
              <w:jc w:val="center"/>
            </w:pPr>
            <w:r>
              <w:t xml:space="preserve">34</w:t>
            </w:r>
          </w:p>
        </w:tc>
        <w:tc>
          <w:tcPr>
            <w:tcW w:type="dxa" w:w="2729"/>
          </w:tcPr>
          <w:p>
            <w:pPr>
              <w:pStyle w:val="Compact"/>
            </w:pPr>
            <w:r>
              <w:t xml:space="preserve">Внимание, память и помощь</w:t>
            </w:r>
          </w:p>
        </w:tc>
        <w:tc>
          <w:tcPr>
            <w:tcW w:type="dxa" w:w="1509"/>
          </w:tcPr>
          <w:p>
            <w:pPr>
              <w:pStyle w:val="Compact"/>
            </w:pPr>
            <w:hyperlink r:id="rId98">
              <w:r>
                <w:rPr>
                  <w:rStyle w:val="Hyperlink"/>
                </w:rPr>
                <w:t xml:space="preserve">COGA Summary</w:t>
              </w:r>
            </w:hyperlink>
          </w:p>
        </w:tc>
        <w:tc>
          <w:tcPr>
            <w:tcW w:type="dxa" w:w="4790"/>
          </w:tcPr>
          <w:p>
            <w:pPr>
              <w:pStyle w:val="Compact"/>
            </w:pPr>
            <w:r>
              <w:t xml:space="preserve">Критический путь не перегружен, прогресс и контекст видимы, помощь доступна в момент затруднения, процесс не требует удерживать сведения в памяти; проверка рекомендательная</w:t>
            </w:r>
          </w:p>
        </w:tc>
      </w:tr>
    </w:tbl>
    <w:p>
      <w:pPr>
        <w:pStyle w:val="BodyText"/>
      </w:pPr>
      <w:r>
        <w:t xml:space="preserve">Проверка ограничения времени по</w:t>
      </w:r>
      <w:r>
        <w:t xml:space="preserve"> </w:t>
      </w:r>
      <w:hyperlink r:id="rId99">
        <w:r>
          <w:rPr>
            <w:rStyle w:val="Hyperlink"/>
          </w:rPr>
          <w:t xml:space="preserve">WCAG 2.2.1</w:t>
        </w:r>
      </w:hyperlink>
      <w:r>
        <w:t xml:space="preserve"> </w:t>
      </w:r>
      <w:r>
        <w:t xml:space="preserve">выполняется отдельной карточкой полного реестра: для каждого установленного контентом лимита проверяются выключение, настройка или продление и точные исключения критерия. Сохранение введенных данных после тайм-аута является отдельным когнитивным</w:t>
      </w:r>
      <w:r>
        <w:t xml:space="preserve"> </w:t>
      </w:r>
      <w:r>
        <w:rPr>
          <w:b/>
          <w:bCs/>
        </w:rPr>
        <w:t xml:space="preserve">Предложением проекта</w:t>
      </w:r>
      <w:r>
        <w:t xml:space="preserve"> </w:t>
      </w:r>
      <w:r>
        <w:t xml:space="preserve">и не подменяет 2.2.1.</w:t>
      </w:r>
    </w:p>
    <w:p>
      <w:pPr>
        <w:pStyle w:val="BodyText"/>
      </w:pPr>
      <w:r>
        <w:t xml:space="preserve">Пункты 32–34 выполняются по приложению</w:t>
      </w:r>
      <w:r>
        <w:t xml:space="preserve"> </w:t>
      </w:r>
      <w:hyperlink r:id="rId100">
        <w:r>
          <w:rPr>
            <w:rStyle w:val="Hyperlink"/>
          </w:rPr>
          <w:t xml:space="preserve">«Протокол понятности и когнитивной доступности»</w:t>
        </w:r>
      </w:hyperlink>
      <w:r>
        <w:t xml:space="preserve">, где К01–К12 заданы как авторские сценарии. Их результат хранится отдельно от решения по 55 критериям WCAG A/AA и не повышает или не понижает уровень WCAG автоматически.</w:t>
      </w:r>
    </w:p>
    <w:bookmarkEnd w:id="101"/>
    <w:bookmarkStart w:id="102" w:name="доказательства-и-регистрация-результата"/>
    <w:p>
      <w:pPr>
        <w:pStyle w:val="Heading2"/>
      </w:pPr>
      <w:bookmarkStart w:id="1280" w:name="_TocAnchor103_1279"/>
      <w:r>
        <w:t xml:space="preserve">8. Доказательства и регистрация результата</w:t>
      </w:r>
      <w:bookmarkEnd w:id="1280"/>
    </w:p>
    <w:p>
      <w:pPr>
        <w:pStyle w:val="FirstParagraph"/>
      </w:pPr>
      <w:r>
        <w:t xml:space="preserve">Для каждого результата сохраняются:</w:t>
      </w:r>
    </w:p>
    <w:p>
      <w:pPr>
        <w:pStyle w:val="Compact"/>
        <w:numPr>
          <w:ilvl w:val="0"/>
          <w:numId w:val="1006"/>
        </w:numPr>
      </w:pPr>
      <w:r>
        <w:t xml:space="preserve">идентификатор проверки и источник;</w:t>
      </w:r>
    </w:p>
    <w:p>
      <w:pPr>
        <w:pStyle w:val="Compact"/>
        <w:numPr>
          <w:ilvl w:val="0"/>
          <w:numId w:val="1006"/>
        </w:numPr>
      </w:pPr>
      <w:r>
        <w:t xml:space="preserve">URL, роль пользователя, состояние и шаг процесса;</w:t>
      </w:r>
    </w:p>
    <w:p>
      <w:pPr>
        <w:pStyle w:val="Compact"/>
        <w:numPr>
          <w:ilvl w:val="0"/>
          <w:numId w:val="1006"/>
        </w:numPr>
      </w:pPr>
      <w:r>
        <w:t xml:space="preserve">дата, версия продукта и конфигурация;</w:t>
      </w:r>
    </w:p>
    <w:p>
      <w:pPr>
        <w:pStyle w:val="Compact"/>
        <w:numPr>
          <w:ilvl w:val="0"/>
          <w:numId w:val="1006"/>
        </w:numPr>
      </w:pPr>
      <w:r>
        <w:t xml:space="preserve">предварительные условия и тестовые данные без чувствительной информации;</w:t>
      </w:r>
    </w:p>
    <w:p>
      <w:pPr>
        <w:pStyle w:val="Compact"/>
        <w:numPr>
          <w:ilvl w:val="0"/>
          <w:numId w:val="1006"/>
        </w:numPr>
      </w:pPr>
      <w:r>
        <w:t xml:space="preserve">точные действия;</w:t>
      </w:r>
    </w:p>
    <w:p>
      <w:pPr>
        <w:pStyle w:val="Compact"/>
        <w:numPr>
          <w:ilvl w:val="0"/>
          <w:numId w:val="1006"/>
        </w:numPr>
      </w:pPr>
      <w:r>
        <w:t xml:space="preserve">ожидаемый результат;</w:t>
      </w:r>
    </w:p>
    <w:p>
      <w:pPr>
        <w:pStyle w:val="Compact"/>
        <w:numPr>
          <w:ilvl w:val="0"/>
          <w:numId w:val="1006"/>
        </w:numPr>
      </w:pPr>
      <w:r>
        <w:t xml:space="preserve">фактический результат;</w:t>
      </w:r>
    </w:p>
    <w:p>
      <w:pPr>
        <w:pStyle w:val="Compact"/>
        <w:numPr>
          <w:ilvl w:val="0"/>
          <w:numId w:val="1006"/>
        </w:numPr>
      </w:pPr>
      <w:r>
        <w:t xml:space="preserve">статус: соответствует, не соответствует, не применимо, не проверено или требует экспертного решения;</w:t>
      </w:r>
    </w:p>
    <w:p>
      <w:pPr>
        <w:pStyle w:val="Compact"/>
        <w:numPr>
          <w:ilvl w:val="0"/>
          <w:numId w:val="1006"/>
        </w:numPr>
      </w:pPr>
      <w:r>
        <w:t xml:space="preserve">доказательство, достаточное для воспроизведения;</w:t>
      </w:r>
    </w:p>
    <w:p>
      <w:pPr>
        <w:pStyle w:val="Compact"/>
        <w:numPr>
          <w:ilvl w:val="0"/>
          <w:numId w:val="1006"/>
        </w:numPr>
      </w:pPr>
      <w:r>
        <w:t xml:space="preserve">влияние на пользователя и затронутые модели взаимодействия;</w:t>
      </w:r>
    </w:p>
    <w:p>
      <w:pPr>
        <w:pStyle w:val="Compact"/>
        <w:numPr>
          <w:ilvl w:val="0"/>
          <w:numId w:val="1006"/>
        </w:numPr>
      </w:pPr>
      <w:r>
        <w:t xml:space="preserve">связь с повторяющимся компонентом и другими страницами.</w:t>
      </w:r>
    </w:p>
    <w:p>
      <w:pPr>
        <w:pStyle w:val="FirstParagraph"/>
      </w:pPr>
      <w:r>
        <w:t xml:space="preserve">Снимок экрана полезен для визуального дефекта, но не доказывает порядок фокуса, объявление скринридера или динамическое поведение. Для таких случаев нужны последовательность действий и наблюдаемый вывод. Код помогает установить причину, но итог проверки описывает пользовательски наблюдаемый результат.</w:t>
      </w:r>
    </w:p>
    <w:p>
      <w:pPr>
        <w:pStyle w:val="BodyText"/>
      </w:pPr>
      <w:r>
        <w:t xml:space="preserve">Статус «не применимо» требует обоснования. «Не проверено» не считается успехом. Если специалисты расходятся, сохраняются обе интерпретации, нормативный текст, выбранное решение и ответственный за него.</w:t>
      </w:r>
    </w:p>
    <w:bookmarkEnd w:id="102"/>
    <w:bookmarkStart w:id="103" w:name="серьезность-дефекта"/>
    <w:p>
      <w:pPr>
        <w:pStyle w:val="Heading2"/>
      </w:pPr>
      <w:bookmarkStart w:id="1282" w:name="_TocAnchor118_1281"/>
      <w:r>
        <w:t xml:space="preserve">9. Серьезность дефекта</w:t>
      </w:r>
      <w:bookmarkEnd w:id="1282"/>
    </w:p>
    <w:p>
      <w:pPr>
        <w:pStyle w:val="FirstParagraph"/>
      </w:pPr>
      <w:r>
        <w:t xml:space="preserve">Серьезность назначается независимо от уровня A, AA или AAA. Уровень WCAG отражает модель соответствия, а серьезность отражает ущерб в конкретном продукте.</w:t>
      </w:r>
    </w:p>
    <w:tbl>
      <w:tblPr>
        <w:tblStyle w:val="Table"/>
        <w:tblW w:type="dxa" w:w="9638"/>
        <w:tblLayout w:type="fixed"/>
        <w:tblLook w:firstRow="1" w:lastRow="0" w:firstColumn="0" w:lastColumn="0" w:noHBand="0" w:noVBand="0" w:val="0020"/>
      </w:tblPr>
      <w:tblGrid>
        <w:gridCol w:w="1771"/>
        <w:gridCol w:w="4765"/>
        <w:gridCol w:w="3102"/>
      </w:tblGrid>
      <w:tr>
        <w:trPr>
          <w:tblHeader w:val="true"/>
        </w:trPr>
        <w:tc>
          <w:tcPr>
            <w:tcW w:type="dxa" w:w="1771"/>
          </w:tcPr>
          <w:p>
            <w:pPr>
              <w:pStyle w:val="Compact"/>
            </w:pPr>
            <w:r>
              <w:rPr>
                <w:b/>
              </w:rPr>
              <w:t xml:space="preserve">Уровень</w:t>
            </w:r>
          </w:p>
        </w:tc>
        <w:tc>
          <w:tcPr>
            <w:tcW w:type="dxa" w:w="4765"/>
          </w:tcPr>
          <w:p>
            <w:pPr>
              <w:pStyle w:val="Compact"/>
            </w:pPr>
            <w:r>
              <w:rPr>
                <w:b/>
              </w:rPr>
              <w:t xml:space="preserve">Определение</w:t>
            </w:r>
          </w:p>
        </w:tc>
        <w:tc>
          <w:tcPr>
            <w:tcW w:type="dxa" w:w="3102"/>
          </w:tcPr>
          <w:p>
            <w:pPr>
              <w:pStyle w:val="Compact"/>
            </w:pPr>
            <w:r>
              <w:rPr>
                <w:b/>
              </w:rPr>
              <w:t xml:space="preserve">Типичный пример</w:t>
            </w:r>
          </w:p>
        </w:tc>
      </w:tr>
      <w:tr>
        <w:tc>
          <w:tcPr>
            <w:tcW w:type="dxa" w:w="1771"/>
          </w:tcPr>
          <w:p>
            <w:pPr>
              <w:pStyle w:val="Compact"/>
            </w:pPr>
            <w:r>
              <w:t xml:space="preserve">S1, блокирующий</w:t>
            </w:r>
          </w:p>
        </w:tc>
        <w:tc>
          <w:tcPr>
            <w:tcW w:type="dxa" w:w="4765"/>
          </w:tcPr>
          <w:p>
            <w:pPr>
              <w:pStyle w:val="Compact"/>
            </w:pPr>
            <w:r>
              <w:t xml:space="preserve">Целевая группа не может завершить критический процесс, доступного обхода нет, есть риск безопасности или необратимой потери</w:t>
            </w:r>
          </w:p>
        </w:tc>
        <w:tc>
          <w:tcPr>
            <w:tcW w:type="dxa" w:w="3102"/>
          </w:tcPr>
          <w:p>
            <w:pPr>
              <w:pStyle w:val="Compact"/>
            </w:pPr>
            <w:r>
              <w:t xml:space="preserve">Невозможно войти со скринридером; оплату нельзя подтвердить с клавиатуры</w:t>
            </w:r>
          </w:p>
        </w:tc>
      </w:tr>
      <w:tr>
        <w:tc>
          <w:tcPr>
            <w:tcW w:type="dxa" w:w="1771"/>
          </w:tcPr>
          <w:p>
            <w:pPr>
              <w:pStyle w:val="Compact"/>
            </w:pPr>
            <w:r>
              <w:t xml:space="preserve">S2, высокий</w:t>
            </w:r>
          </w:p>
        </w:tc>
        <w:tc>
          <w:tcPr>
            <w:tcW w:type="dxa" w:w="4765"/>
          </w:tcPr>
          <w:p>
            <w:pPr>
              <w:pStyle w:val="Compact"/>
            </w:pPr>
            <w:r>
              <w:t xml:space="preserve">Существенная функция недоступна или требует непропорциональной помощи; обход нестабилен или неочевиден</w:t>
            </w:r>
          </w:p>
        </w:tc>
        <w:tc>
          <w:tcPr>
            <w:tcW w:type="dxa" w:w="3102"/>
          </w:tcPr>
          <w:p>
            <w:pPr>
              <w:pStyle w:val="Compact"/>
            </w:pPr>
            <w:r>
              <w:t xml:space="preserve">Ошибки формы не объявляются, пользователь многократно теряет введенные данные</w:t>
            </w:r>
          </w:p>
        </w:tc>
      </w:tr>
      <w:tr>
        <w:tc>
          <w:tcPr>
            <w:tcW w:type="dxa" w:w="1771"/>
          </w:tcPr>
          <w:p>
            <w:pPr>
              <w:pStyle w:val="Compact"/>
            </w:pPr>
            <w:r>
              <w:t xml:space="preserve">S3, средний</w:t>
            </w:r>
          </w:p>
        </w:tc>
        <w:tc>
          <w:tcPr>
            <w:tcW w:type="dxa" w:w="4765"/>
          </w:tcPr>
          <w:p>
            <w:pPr>
              <w:pStyle w:val="Compact"/>
            </w:pPr>
            <w:r>
              <w:t xml:space="preserve">Задача выполнима, но возрастает нагрузка, время или вероятность ошибки</w:t>
            </w:r>
          </w:p>
        </w:tc>
        <w:tc>
          <w:tcPr>
            <w:tcW w:type="dxa" w:w="3102"/>
          </w:tcPr>
          <w:p>
            <w:pPr>
              <w:pStyle w:val="Compact"/>
            </w:pPr>
            <w:r>
              <w:t xml:space="preserve">Непоследовательные подписи, слабая ориентация в длинном процессе</w:t>
            </w:r>
          </w:p>
        </w:tc>
      </w:tr>
      <w:tr>
        <w:tc>
          <w:tcPr>
            <w:tcW w:type="dxa" w:w="1771"/>
          </w:tcPr>
          <w:p>
            <w:pPr>
              <w:pStyle w:val="Compact"/>
            </w:pPr>
            <w:r>
              <w:t xml:space="preserve">S4, низкий</w:t>
            </w:r>
          </w:p>
        </w:tc>
        <w:tc>
          <w:tcPr>
            <w:tcW w:type="dxa" w:w="4765"/>
          </w:tcPr>
          <w:p>
            <w:pPr>
              <w:pStyle w:val="Compact"/>
            </w:pPr>
            <w:r>
              <w:t xml:space="preserve">Локальное отклонение с ограниченным влиянием</w:t>
            </w:r>
          </w:p>
        </w:tc>
        <w:tc>
          <w:tcPr>
            <w:tcW w:type="dxa" w:w="3102"/>
          </w:tcPr>
          <w:p>
            <w:pPr>
              <w:pStyle w:val="Compact"/>
            </w:pPr>
            <w:r>
              <w:t xml:space="preserve">Некритичная декоративная иконка создает лишний шум</w:t>
            </w:r>
          </w:p>
        </w:tc>
      </w:tr>
    </w:tbl>
    <w:p>
      <w:pPr>
        <w:pStyle w:val="BodyText"/>
      </w:pPr>
      <w:r>
        <w:t xml:space="preserve">Приоритет исправления учитывает серьезность, распространенность компонента, частоту процесса, число затронутых групп, цену ошибки и вероятность повторения. Массовый S3 в общем шаблоне может иметь более высокий приоритет, чем единичный S2 на архивной странице.</w:t>
      </w:r>
    </w:p>
    <w:bookmarkEnd w:id="103"/>
    <w:bookmarkStart w:id="104" w:name="правила-заключения"/>
    <w:p>
      <w:pPr>
        <w:pStyle w:val="Heading2"/>
      </w:pPr>
      <w:bookmarkStart w:id="1284" w:name="_TocAnchor121_1283"/>
      <w:r>
        <w:t xml:space="preserve">10. Правила заключения</w:t>
      </w:r>
      <w:bookmarkEnd w:id="1284"/>
    </w:p>
    <w:p>
      <w:pPr>
        <w:pStyle w:val="FirstParagraph"/>
      </w:pPr>
      <w:r>
        <w:t xml:space="preserve">Заключение содержит:</w:t>
      </w:r>
    </w:p>
    <w:p>
      <w:pPr>
        <w:pStyle w:val="Compact"/>
        <w:numPr>
          <w:ilvl w:val="0"/>
          <w:numId w:val="1007"/>
        </w:numPr>
      </w:pPr>
      <w:r>
        <w:t xml:space="preserve">точную область, версию и период;</w:t>
      </w:r>
    </w:p>
    <w:p>
      <w:pPr>
        <w:pStyle w:val="Compact"/>
        <w:numPr>
          <w:ilvl w:val="0"/>
          <w:numId w:val="1007"/>
        </w:numPr>
      </w:pPr>
      <w:r>
        <w:t xml:space="preserve">целевой профиль WCAG и дополнительные критерии;</w:t>
      </w:r>
    </w:p>
    <w:p>
      <w:pPr>
        <w:pStyle w:val="Compact"/>
        <w:numPr>
          <w:ilvl w:val="0"/>
          <w:numId w:val="1007"/>
        </w:numPr>
      </w:pPr>
      <w:r>
        <w:t xml:space="preserve">метод и состав структурированной, случайной и процессной выборки;</w:t>
      </w:r>
    </w:p>
    <w:p>
      <w:pPr>
        <w:pStyle w:val="Compact"/>
        <w:numPr>
          <w:ilvl w:val="0"/>
          <w:numId w:val="1007"/>
        </w:numPr>
      </w:pPr>
      <w:r>
        <w:t xml:space="preserve">конфигурации и ограничения доступа;</w:t>
      </w:r>
    </w:p>
    <w:p>
      <w:pPr>
        <w:pStyle w:val="Compact"/>
        <w:numPr>
          <w:ilvl w:val="0"/>
          <w:numId w:val="1007"/>
        </w:numPr>
      </w:pPr>
      <w:r>
        <w:t xml:space="preserve">раздельные итоги автоматических, ручных и пользовательских проверок;</w:t>
      </w:r>
    </w:p>
    <w:p>
      <w:pPr>
        <w:pStyle w:val="Compact"/>
        <w:numPr>
          <w:ilvl w:val="0"/>
          <w:numId w:val="1007"/>
        </w:numPr>
      </w:pPr>
      <w:r>
        <w:t xml:space="preserve">перечень дефектов по серьезности, критериям, процессам и группам потребностей;</w:t>
      </w:r>
    </w:p>
    <w:p>
      <w:pPr>
        <w:pStyle w:val="Compact"/>
        <w:numPr>
          <w:ilvl w:val="0"/>
          <w:numId w:val="1007"/>
        </w:numPr>
      </w:pPr>
      <w:r>
        <w:t xml:space="preserve">ограничение вывода пределами выборки;</w:t>
      </w:r>
    </w:p>
    <w:p>
      <w:pPr>
        <w:pStyle w:val="Compact"/>
        <w:numPr>
          <w:ilvl w:val="0"/>
          <w:numId w:val="1007"/>
        </w:numPr>
      </w:pPr>
      <w:r>
        <w:t xml:space="preserve">условия повторной проверки.</w:t>
      </w:r>
    </w:p>
    <w:p>
      <w:pPr>
        <w:pStyle w:val="FirstParagraph"/>
      </w:pPr>
      <w:r>
        <w:t xml:space="preserve">Допустимые формулировки:</w:t>
      </w:r>
    </w:p>
    <w:p>
      <w:pPr>
        <w:pStyle w:val="Compact"/>
        <w:numPr>
          <w:ilvl w:val="0"/>
          <w:numId w:val="1008"/>
        </w:numPr>
      </w:pPr>
      <w:r>
        <w:t xml:space="preserve">«В проверенной выборке обнаружены несоответствия критериям...»;</w:t>
      </w:r>
    </w:p>
    <w:p>
      <w:pPr>
        <w:pStyle w:val="Compact"/>
        <w:numPr>
          <w:ilvl w:val="0"/>
          <w:numId w:val="1008"/>
        </w:numPr>
      </w:pPr>
      <w:r>
        <w:t xml:space="preserve">«Проверенный полный процесс не может быть завершен пользователями, работающими только с клавиатурой...»;</w:t>
      </w:r>
    </w:p>
    <w:p>
      <w:pPr>
        <w:pStyle w:val="Compact"/>
        <w:numPr>
          <w:ilvl w:val="0"/>
          <w:numId w:val="1008"/>
        </w:numPr>
      </w:pPr>
      <w:r>
        <w:t xml:space="preserve">«На проверенных страницах критерий выполнен в указанных конфигурациях...»;</w:t>
      </w:r>
    </w:p>
    <w:p>
      <w:pPr>
        <w:pStyle w:val="Compact"/>
        <w:numPr>
          <w:ilvl w:val="0"/>
          <w:numId w:val="1008"/>
        </w:numPr>
      </w:pPr>
      <w:r>
        <w:t xml:space="preserve">«Выборка не дает основания утверждать отсутствие аналогичных дефектов на остальных страницах».</w:t>
      </w:r>
    </w:p>
    <w:p>
      <w:pPr>
        <w:pStyle w:val="FirstParagraph"/>
      </w:pPr>
      <w:r>
        <w:t xml:space="preserve">Формулировка «сайт соответствует WCAG 2.2 AA» допустима только при наличии основания для всей заявленной области и выполнении всех</w:t>
      </w:r>
      <w:r>
        <w:t xml:space="preserve"> </w:t>
      </w:r>
      <w:hyperlink r:id="rId47">
        <w:r>
          <w:rPr>
            <w:rStyle w:val="Hyperlink"/>
          </w:rPr>
          <w:t xml:space="preserve">пяти требований соответствия</w:t>
        </w:r>
      </w:hyperlink>
      <w:r>
        <w:t xml:space="preserve">. По обычной выборочной оценке формулируется результат выборки, а не соответствие всего сайта. Отсутствие ошибок автоматической проверки нельзя описывать как отсутствие барьеров.</w:t>
      </w:r>
    </w:p>
    <w:p>
      <w:pPr>
        <w:pStyle w:val="BodyText"/>
      </w:pPr>
      <w:r>
        <w:t xml:space="preserve">Один доказанный дефект применимого критерия на странице или в полном процессе внутри заявленной области достаточен, чтобы опровергнуть полное соответствие этой области заявленному уровню. Такой дефект не доказывает недоступность каждого элемента, каждой страницы или каждого пользователя. Положительный выборочный результат, напротив, обычно недостаточен для утверждения о полном соответствии всей области.</w:t>
      </w:r>
    </w:p>
    <w:p>
      <w:pPr>
        <w:pStyle w:val="BodyText"/>
      </w:pPr>
      <w:r>
        <w:t xml:space="preserve">COGA-выводы приводятся отдельно: «соответствует предложению», «частично поддерживает», «обнаружен пользовательский барьер». Они не повышают и не понижают уровень WCAG сами по себе.</w:t>
      </w:r>
    </w:p>
    <w:bookmarkEnd w:id="104"/>
    <w:bookmarkStart w:id="105" w:name="повторная-проверка-и-регрессия"/>
    <w:p>
      <w:pPr>
        <w:pStyle w:val="Heading2"/>
      </w:pPr>
      <w:bookmarkStart w:id="1286" w:name="_TocAnchor139_1285"/>
      <w:r>
        <w:t xml:space="preserve">11. Повторная проверка и регрессия</w:t>
      </w:r>
      <w:bookmarkEnd w:id="1286"/>
    </w:p>
    <w:p>
      <w:pPr>
        <w:pStyle w:val="FirstParagraph"/>
      </w:pPr>
      <w:r>
        <w:t xml:space="preserve">Исправление проверяется в исходной конфигурации по тем же шагам и доказательствам. Затем выполняется регрессия:</w:t>
      </w:r>
    </w:p>
    <w:p>
      <w:pPr>
        <w:pStyle w:val="Compact"/>
        <w:numPr>
          <w:ilvl w:val="0"/>
          <w:numId w:val="1009"/>
        </w:numPr>
      </w:pPr>
      <w:r>
        <w:t xml:space="preserve">всех состояний измененного компонента;</w:t>
      </w:r>
    </w:p>
    <w:p>
      <w:pPr>
        <w:pStyle w:val="Compact"/>
        <w:numPr>
          <w:ilvl w:val="0"/>
          <w:numId w:val="1009"/>
        </w:numPr>
      </w:pPr>
      <w:r>
        <w:t xml:space="preserve">всех страниц выборки, где компонент повторяется;</w:t>
      </w:r>
    </w:p>
    <w:p>
      <w:pPr>
        <w:pStyle w:val="Compact"/>
        <w:numPr>
          <w:ilvl w:val="0"/>
          <w:numId w:val="1009"/>
        </w:numPr>
      </w:pPr>
      <w:r>
        <w:t xml:space="preserve">полного процесса, в который входит изменение;</w:t>
      </w:r>
    </w:p>
    <w:p>
      <w:pPr>
        <w:pStyle w:val="Compact"/>
        <w:numPr>
          <w:ilvl w:val="0"/>
          <w:numId w:val="1009"/>
        </w:numPr>
      </w:pPr>
      <w:r>
        <w:t xml:space="preserve">соседних критериев, которые могло затронуть исправление;</w:t>
      </w:r>
    </w:p>
    <w:p>
      <w:pPr>
        <w:pStyle w:val="Compact"/>
        <w:numPr>
          <w:ilvl w:val="0"/>
          <w:numId w:val="1009"/>
        </w:numPr>
      </w:pPr>
      <w:r>
        <w:t xml:space="preserve">минимум одной другой конфигурации вспомогательной технологии для высокорискового изменения.</w:t>
      </w:r>
    </w:p>
    <w:p>
      <w:pPr>
        <w:pStyle w:val="FirstParagraph"/>
      </w:pPr>
      <w:r>
        <w:t xml:space="preserve">При новом релизе обновляются область, версии и карта технологий. В повторную выборку включаются ранее проблемные страницы, измененные шаблоны, критические процессы и новая случайная часть. Использование ровно тех же страниц позволяет сравнивать динамику, но не обнаруживает новые зоны, поэтому постоянная выборка дополняется обновляемой.</w:t>
      </w:r>
    </w:p>
    <w:p>
      <w:pPr>
        <w:pStyle w:val="BodyText"/>
      </w:pPr>
      <w:r>
        <w:t xml:space="preserve">Если изменились смысл процесса, обязательные шаги, порядок, роль, входные данные, конечная точка или юридически значимый результат, процесс получает новую базовую версию и проверяется полностью. Его нельзя считать прежним процессом с локальной регрессией. Исходная и новая фикстуры сохраняются раздельно.</w:t>
      </w:r>
    </w:p>
    <w:p>
      <w:pPr>
        <w:pStyle w:val="BodyText"/>
      </w:pPr>
      <w:r>
        <w:rPr>
          <w:b/>
          <w:bCs/>
        </w:rPr>
        <w:t xml:space="preserve">Предложение проекта.</w:t>
      </w:r>
      <w:r>
        <w:t xml:space="preserve"> </w:t>
      </w:r>
      <w:r>
        <w:t xml:space="preserve">Блокирующие исправления и изменения общего компонента не закрываются только по исходному примеру. Требуется проверить все известные вхождения либо документированно доказать единый источник реализации и провести репрезентативную регрессию.</w:t>
      </w:r>
    </w:p>
    <w:bookmarkEnd w:id="105"/>
    <w:bookmarkStart w:id="112" w:name="шаблоны"/>
    <w:p>
      <w:pPr>
        <w:pStyle w:val="Heading2"/>
      </w:pPr>
      <w:bookmarkStart w:id="1288" w:name="_TocAnchor149_1287"/>
      <w:r>
        <w:t xml:space="preserve">12. Шаблоны</w:t>
      </w:r>
      <w:bookmarkEnd w:id="1288"/>
    </w:p>
    <w:bookmarkStart w:id="106" w:name="паспорт-оценки"/>
    <w:p>
      <w:pPr>
        <w:pStyle w:val="Heading3"/>
      </w:pPr>
      <w:bookmarkStart w:id="1290" w:name="_TocAnchor150_1289"/>
      <w:r>
        <w:t xml:space="preserve">12.1. Паспорт оценки</w:t>
      </w:r>
      <w:bookmarkEnd w:id="1290"/>
    </w:p>
    <w:p>
      <w:pPr>
        <w:pStyle w:val="SourceCode"/>
      </w:pPr>
      <w:r>
        <w:rPr>
          <w:rStyle w:val="VerbatimChar"/>
        </w:rPr>
        <w:t xml:space="preserve">Продукт и владелец:</w:t>
      </w:r>
      <w:r>
        <w:br/>
      </w:r>
      <w:r>
        <w:rPr>
          <w:rStyle w:val="VerbatimChar"/>
        </w:rPr>
        <w:t xml:space="preserve">Версия, сборка, период:</w:t>
      </w:r>
      <w:r>
        <w:br/>
      </w:r>
      <w:r>
        <w:rPr>
          <w:rStyle w:val="VerbatimChar"/>
        </w:rPr>
        <w:t xml:space="preserve">Домены и исключения:</w:t>
      </w:r>
      <w:r>
        <w:br/>
      </w:r>
      <w:r>
        <w:rPr>
          <w:rStyle w:val="VerbatimChar"/>
        </w:rPr>
        <w:t xml:space="preserve">Роли и языковые версии:</w:t>
      </w:r>
      <w:r>
        <w:br/>
      </w:r>
      <w:r>
        <w:rPr>
          <w:rStyle w:val="VerbatimChar"/>
        </w:rPr>
        <w:t xml:space="preserve">Юридически применимый профиль и основание:</w:t>
      </w:r>
      <w:r>
        <w:br/>
      </w:r>
      <w:r>
        <w:rPr>
          <w:rStyle w:val="VerbatimChar"/>
        </w:rPr>
        <w:t xml:space="preserve">Добровольный целевой профиль:</w:t>
      </w:r>
      <w:r>
        <w:br/>
      </w:r>
      <w:r>
        <w:rPr>
          <w:rStyle w:val="VerbatimChar"/>
        </w:rPr>
        <w:t xml:space="preserve">Целевой профиль WCAG:</w:t>
      </w:r>
      <w:r>
        <w:br/>
      </w:r>
      <w:r>
        <w:rPr>
          <w:rStyle w:val="VerbatimChar"/>
        </w:rPr>
        <w:t xml:space="preserve">Дополнительные требования:</w:t>
      </w:r>
      <w:r>
        <w:br/>
      </w:r>
      <w:r>
        <w:rPr>
          <w:rStyle w:val="VerbatimChar"/>
        </w:rPr>
        <w:t xml:space="preserve">Технологии и сторонние контуры:</w:t>
      </w:r>
      <w:r>
        <w:br/>
      </w:r>
      <w:r>
        <w:rPr>
          <w:rStyle w:val="VerbatimChar"/>
        </w:rPr>
        <w:t xml:space="preserve">Критические процессы:</w:t>
      </w:r>
      <w:r>
        <w:br/>
      </w:r>
      <w:r>
        <w:rPr>
          <w:rStyle w:val="VerbatimChar"/>
        </w:rPr>
        <w:t xml:space="preserve">Ограничения доступа и тестовых данных:</w:t>
      </w:r>
      <w:r>
        <w:br/>
      </w:r>
      <w:r>
        <w:rPr>
          <w:rStyle w:val="VerbatimChar"/>
        </w:rPr>
        <w:t xml:space="preserve">Версия генерального реестра, способ перечисления и дедупликация:</w:t>
      </w:r>
      <w:r>
        <w:br/>
      </w:r>
      <w:r>
        <w:rPr>
          <w:rStyle w:val="VerbatimChar"/>
        </w:rPr>
        <w:t xml:space="preserve">Размер структурированной выборки, расчет 10%, seed и дата выбора:</w:t>
      </w:r>
      <w:r>
        <w:br/>
      </w:r>
      <w:r>
        <w:rPr>
          <w:rStyle w:val="VerbatimChar"/>
        </w:rPr>
        <w:t xml:space="preserve">Ответственные лица:</w:t>
      </w:r>
    </w:p>
    <w:bookmarkEnd w:id="106"/>
    <w:bookmarkStart w:id="107" w:name="матрица-покрытия"/>
    <w:p>
      <w:pPr>
        <w:pStyle w:val="Heading3"/>
      </w:pPr>
      <w:bookmarkStart w:id="1292" w:name="_TocAnchor152_1291"/>
      <w:r>
        <w:t xml:space="preserve">12.2. Матрица покрытия</w:t>
      </w:r>
      <w:bookmarkEnd w:id="1292"/>
    </w:p>
    <w:p>
      <w:pPr>
        <w:pStyle w:val="SourceCode"/>
      </w:pPr>
      <w:r>
        <w:rPr>
          <w:rStyle w:val="VerbatimChar"/>
        </w:rPr>
        <w:t xml:space="preserve">ID единицы:</w:t>
      </w:r>
      <w:r>
        <w:br/>
      </w:r>
      <w:r>
        <w:rPr>
          <w:rStyle w:val="VerbatimChar"/>
        </w:rPr>
        <w:t xml:space="preserve">URL или способ открыть состояние:</w:t>
      </w:r>
      <w:r>
        <w:br/>
      </w:r>
      <w:r>
        <w:rPr>
          <w:rStyle w:val="VerbatimChar"/>
        </w:rPr>
        <w:t xml:space="preserve">Тип: структурированная / случайная / полный процесс:</w:t>
      </w:r>
      <w:r>
        <w:br/>
      </w:r>
      <w:r>
        <w:rPr>
          <w:rStyle w:val="VerbatimChar"/>
        </w:rPr>
        <w:t xml:space="preserve">Шаблон страницы:</w:t>
      </w:r>
      <w:r>
        <w:br/>
      </w:r>
      <w:r>
        <w:rPr>
          <w:rStyle w:val="VerbatimChar"/>
        </w:rPr>
        <w:t xml:space="preserve">Функции:</w:t>
      </w:r>
      <w:r>
        <w:br/>
      </w:r>
      <w:r>
        <w:rPr>
          <w:rStyle w:val="VerbatimChar"/>
        </w:rPr>
        <w:t xml:space="preserve">Технологии:</w:t>
      </w:r>
      <w:r>
        <w:br/>
      </w:r>
      <w:r>
        <w:rPr>
          <w:rStyle w:val="VerbatimChar"/>
        </w:rPr>
        <w:t xml:space="preserve">Роль и состояние:</w:t>
      </w:r>
      <w:r>
        <w:br/>
      </w:r>
      <w:r>
        <w:rPr>
          <w:rStyle w:val="VerbatimChar"/>
        </w:rPr>
        <w:t xml:space="preserve">Фикстура, способ входа, TTL сессии и сброс:</w:t>
      </w:r>
      <w:r>
        <w:br/>
      </w:r>
      <w:r>
        <w:rPr>
          <w:rStyle w:val="VerbatimChar"/>
        </w:rPr>
        <w:t xml:space="preserve">Адаптивный вариант:</w:t>
      </w:r>
      <w:r>
        <w:br/>
      </w:r>
      <w:r>
        <w:rPr>
          <w:rStyle w:val="VerbatimChar"/>
        </w:rPr>
        <w:t xml:space="preserve">Документы и медиа:</w:t>
      </w:r>
      <w:r>
        <w:br/>
      </w:r>
      <w:r>
        <w:rPr>
          <w:rStyle w:val="VerbatimChar"/>
        </w:rPr>
        <w:t xml:space="preserve">Покрываемые критерии и конфигурации:</w:t>
      </w:r>
      <w:r>
        <w:br/>
      </w:r>
      <w:r>
        <w:rPr>
          <w:rStyle w:val="VerbatimChar"/>
        </w:rPr>
        <w:t xml:space="preserve">Причина включения:</w:t>
      </w:r>
      <w:r>
        <w:br/>
      </w:r>
      <w:r>
        <w:rPr>
          <w:rStyle w:val="VerbatimChar"/>
        </w:rPr>
        <w:t xml:space="preserve">Связанные полные процессы и состояния:</w:t>
      </w:r>
    </w:p>
    <w:bookmarkEnd w:id="107"/>
    <w:bookmarkStart w:id="108" w:name="карточка-дефекта"/>
    <w:p>
      <w:pPr>
        <w:pStyle w:val="Heading3"/>
      </w:pPr>
      <w:bookmarkStart w:id="1294" w:name="_TocAnchor154_1293"/>
      <w:r>
        <w:t xml:space="preserve">12.3. Карточка дефекта</w:t>
      </w:r>
      <w:bookmarkEnd w:id="1294"/>
    </w:p>
    <w:p>
      <w:pPr>
        <w:pStyle w:val="SourceCode"/>
      </w:pPr>
      <w:r>
        <w:rPr>
          <w:rStyle w:val="VerbatimChar"/>
        </w:rPr>
        <w:t xml:space="preserve">ID и краткое название:</w:t>
      </w:r>
      <w:r>
        <w:br/>
      </w:r>
      <w:r>
        <w:rPr>
          <w:rStyle w:val="VerbatimChar"/>
        </w:rPr>
        <w:t xml:space="preserve">Серьезность и обоснование:</w:t>
      </w:r>
      <w:r>
        <w:br/>
      </w:r>
      <w:r>
        <w:rPr>
          <w:rStyle w:val="VerbatimChar"/>
        </w:rPr>
        <w:t xml:space="preserve">Источник требования и прямая ссылка:</w:t>
      </w:r>
      <w:r>
        <w:br/>
      </w:r>
      <w:r>
        <w:rPr>
          <w:rStyle w:val="VerbatimChar"/>
        </w:rPr>
        <w:t xml:space="preserve">Страница, состояние, версия:</w:t>
      </w:r>
      <w:r>
        <w:br/>
      </w:r>
      <w:r>
        <w:rPr>
          <w:rStyle w:val="VerbatimChar"/>
        </w:rPr>
        <w:t xml:space="preserve">Конфигурация:</w:t>
      </w:r>
      <w:r>
        <w:br/>
      </w:r>
      <w:r>
        <w:rPr>
          <w:rStyle w:val="VerbatimChar"/>
        </w:rPr>
        <w:t xml:space="preserve">Предварительные условия:</w:t>
      </w:r>
      <w:r>
        <w:br/>
      </w:r>
      <w:r>
        <w:rPr>
          <w:rStyle w:val="VerbatimChar"/>
        </w:rPr>
        <w:t xml:space="preserve">Фикстура, тестовая роль, способ входа и TTL:</w:t>
      </w:r>
      <w:r>
        <w:br/>
      </w:r>
      <w:r>
        <w:rPr>
          <w:rStyle w:val="VerbatimChar"/>
        </w:rPr>
        <w:t xml:space="preserve">Шаги:</w:t>
      </w:r>
      <w:r>
        <w:br/>
      </w:r>
      <w:r>
        <w:rPr>
          <w:rStyle w:val="VerbatimChar"/>
        </w:rPr>
        <w:t xml:space="preserve">Точная последовательность клавиш/жестов:</w:t>
      </w:r>
      <w:r>
        <w:br/>
      </w:r>
      <w:r>
        <w:rPr>
          <w:rStyle w:val="VerbatimChar"/>
        </w:rPr>
        <w:t xml:space="preserve">Ожидаемый результат:</w:t>
      </w:r>
      <w:r>
        <w:br/>
      </w:r>
      <w:r>
        <w:rPr>
          <w:rStyle w:val="VerbatimChar"/>
        </w:rPr>
        <w:t xml:space="preserve">Фактический результат:</w:t>
      </w:r>
      <w:r>
        <w:br/>
      </w:r>
      <w:r>
        <w:rPr>
          <w:rStyle w:val="VerbatimChar"/>
        </w:rPr>
        <w:t xml:space="preserve">Доказательство:</w:t>
      </w:r>
      <w:r>
        <w:br/>
      </w:r>
      <w:r>
        <w:rPr>
          <w:rStyle w:val="VerbatimChar"/>
        </w:rPr>
        <w:t xml:space="preserve">Влияние на пользователя:</w:t>
      </w:r>
      <w:r>
        <w:br/>
      </w:r>
      <w:r>
        <w:rPr>
          <w:rStyle w:val="VerbatimChar"/>
        </w:rPr>
        <w:t xml:space="preserve">Повторяемость и связанные страницы:</w:t>
      </w:r>
      <w:r>
        <w:br/>
      </w:r>
      <w:r>
        <w:rPr>
          <w:rStyle w:val="VerbatimChar"/>
        </w:rPr>
        <w:t xml:space="preserve">Владелец риска и срок:</w:t>
      </w:r>
      <w:r>
        <w:br/>
      </w:r>
      <w:r>
        <w:rPr>
          <w:rStyle w:val="VerbatimChar"/>
        </w:rPr>
        <w:t xml:space="preserve">Временный доступный обход:</w:t>
      </w:r>
      <w:r>
        <w:br/>
      </w:r>
      <w:r>
        <w:rPr>
          <w:rStyle w:val="VerbatimChar"/>
        </w:rPr>
        <w:t xml:space="preserve">Предлагаемый критерий приемки исправления:</w:t>
      </w:r>
      <w:r>
        <w:br/>
      </w:r>
      <w:r>
        <w:rPr>
          <w:rStyle w:val="VerbatimChar"/>
        </w:rPr>
        <w:t xml:space="preserve">Связанный компонент и объем регрессии:</w:t>
      </w:r>
      <w:r>
        <w:br/>
      </w:r>
      <w:r>
        <w:rPr>
          <w:rStyle w:val="VerbatimChar"/>
        </w:rPr>
        <w:t xml:space="preserve">Статус повторной проверки:</w:t>
      </w:r>
    </w:p>
    <w:bookmarkEnd w:id="108"/>
    <w:bookmarkStart w:id="109" w:name="пользовательский-протокол"/>
    <w:p>
      <w:pPr>
        <w:pStyle w:val="Heading3"/>
      </w:pPr>
      <w:bookmarkStart w:id="1296" w:name="_TocAnchor156_1295"/>
      <w:r>
        <w:t xml:space="preserve">12.4. Пользовательский протокол</w:t>
      </w:r>
      <w:bookmarkEnd w:id="1296"/>
    </w:p>
    <w:p>
      <w:pPr>
        <w:pStyle w:val="SourceCode"/>
      </w:pPr>
      <w:r>
        <w:rPr>
          <w:rStyle w:val="VerbatimChar"/>
        </w:rPr>
        <w:t xml:space="preserve">Код участника без лишних персональных данных:</w:t>
      </w:r>
      <w:r>
        <w:br/>
      </w:r>
      <w:r>
        <w:rPr>
          <w:rStyle w:val="VerbatimChar"/>
        </w:rPr>
        <w:t xml:space="preserve">Модель взаимодействия и привычная конфигурация:</w:t>
      </w:r>
      <w:r>
        <w:br/>
      </w:r>
      <w:r>
        <w:rPr>
          <w:rStyle w:val="VerbatimChar"/>
        </w:rPr>
        <w:t xml:space="preserve">Согласованные условия и формат общения:</w:t>
      </w:r>
      <w:r>
        <w:br/>
      </w:r>
      <w:r>
        <w:rPr>
          <w:rStyle w:val="VerbatimChar"/>
        </w:rPr>
        <w:t xml:space="preserve">Информированное согласие и дата:</w:t>
      </w:r>
      <w:r>
        <w:br/>
      </w:r>
      <w:r>
        <w:rPr>
          <w:rStyle w:val="VerbatimChar"/>
        </w:rPr>
        <w:t xml:space="preserve">Компенсация и условия:</w:t>
      </w:r>
      <w:r>
        <w:br/>
      </w:r>
      <w:r>
        <w:rPr>
          <w:rStyle w:val="VerbatimChar"/>
        </w:rPr>
        <w:t xml:space="preserve">Отдельное согласие на аудио/видео/экран:</w:t>
      </w:r>
      <w:r>
        <w:br/>
      </w:r>
      <w:r>
        <w:rPr>
          <w:rStyle w:val="VerbatimChar"/>
        </w:rPr>
        <w:t xml:space="preserve">Право остановиться и решение об отзыве данных:</w:t>
      </w:r>
      <w:r>
        <w:br/>
      </w:r>
      <w:r>
        <w:rPr>
          <w:rStyle w:val="VerbatimChar"/>
        </w:rPr>
        <w:t xml:space="preserve">Срок хранения и дата удаления:</w:t>
      </w:r>
      <w:r>
        <w:br/>
      </w:r>
      <w:r>
        <w:rPr>
          <w:rStyle w:val="VerbatimChar"/>
        </w:rPr>
        <w:t xml:space="preserve">Доступные условия, перерывы и поддержка:</w:t>
      </w:r>
      <w:r>
        <w:br/>
      </w:r>
      <w:r>
        <w:rPr>
          <w:rStyle w:val="VerbatimChar"/>
        </w:rPr>
        <w:t xml:space="preserve">Риск, инцидент и помощь после сессии:</w:t>
      </w:r>
      <w:r>
        <w:br/>
      </w:r>
      <w:r>
        <w:rPr>
          <w:rStyle w:val="VerbatimChar"/>
        </w:rPr>
        <w:t xml:space="preserve">Цель и начальное состояние задачи:</w:t>
      </w:r>
      <w:r>
        <w:br/>
      </w:r>
      <w:r>
        <w:rPr>
          <w:rStyle w:val="VerbatimChar"/>
        </w:rPr>
        <w:t xml:space="preserve">Наблюдаемые шаги:</w:t>
      </w:r>
      <w:r>
        <w:br/>
      </w:r>
      <w:r>
        <w:rPr>
          <w:rStyle w:val="VerbatimChar"/>
        </w:rPr>
        <w:t xml:space="preserve">Достигнутый результат:</w:t>
      </w:r>
      <w:r>
        <w:br/>
      </w:r>
      <w:r>
        <w:rPr>
          <w:rStyle w:val="VerbatimChar"/>
        </w:rPr>
        <w:t xml:space="preserve">Ошибки, возвраты, подсказки и помощь:</w:t>
      </w:r>
      <w:r>
        <w:br/>
      </w:r>
      <w:r>
        <w:rPr>
          <w:rStyle w:val="VerbatimChar"/>
        </w:rPr>
        <w:t xml:space="preserve">Понимание последствий:</w:t>
      </w:r>
      <w:r>
        <w:br/>
      </w:r>
      <w:r>
        <w:rPr>
          <w:rStyle w:val="VerbatimChar"/>
        </w:rPr>
        <w:t xml:space="preserve">Потеря данных или контекста:</w:t>
      </w:r>
      <w:r>
        <w:br/>
      </w:r>
      <w:r>
        <w:rPr>
          <w:rStyle w:val="VerbatimChar"/>
        </w:rPr>
        <w:t xml:space="preserve">Самооценка нагрузки и уверенности:</w:t>
      </w:r>
      <w:r>
        <w:br/>
      </w:r>
      <w:r>
        <w:rPr>
          <w:rStyle w:val="VerbatimChar"/>
        </w:rPr>
        <w:t xml:space="preserve">Цитата участника при согласии:</w:t>
      </w:r>
      <w:r>
        <w:br/>
      </w:r>
      <w:r>
        <w:rPr>
          <w:rStyle w:val="VerbatimChar"/>
        </w:rPr>
        <w:t xml:space="preserve">Барьер и связь с дефектом:</w:t>
      </w:r>
      <w:r>
        <w:br/>
      </w:r>
      <w:r>
        <w:rPr>
          <w:rStyle w:val="VerbatimChar"/>
        </w:rPr>
        <w:t xml:space="preserve">Статус сессии: не проводилась / завершена / остановлена</w:t>
      </w:r>
    </w:p>
    <w:bookmarkEnd w:id="109"/>
    <w:bookmarkStart w:id="110" w:name="реестр-контрольных-результатов"/>
    <w:p>
      <w:pPr>
        <w:pStyle w:val="Heading3"/>
      </w:pPr>
      <w:bookmarkStart w:id="1298" w:name="_TocAnchor158_1297"/>
      <w:r>
        <w:t xml:space="preserve">12.5. Реестр контрольных результатов</w:t>
      </w:r>
      <w:bookmarkEnd w:id="1298"/>
    </w:p>
    <w:p>
      <w:pPr>
        <w:pStyle w:val="SourceCode"/>
      </w:pPr>
      <w:r>
        <w:rPr>
          <w:rStyle w:val="VerbatimChar"/>
        </w:rPr>
        <w:t xml:space="preserve">Проверка:</w:t>
      </w:r>
      <w:r>
        <w:br/>
      </w:r>
      <w:r>
        <w:rPr>
          <w:rStyle w:val="VerbatimChar"/>
        </w:rPr>
        <w:t xml:space="preserve">Критерий WCAG или предложение проекта:</w:t>
      </w:r>
      <w:r>
        <w:br/>
      </w:r>
      <w:r>
        <w:rPr>
          <w:rStyle w:val="VerbatimChar"/>
        </w:rPr>
        <w:t xml:space="preserve">Единица выборки:</w:t>
      </w:r>
      <w:r>
        <w:br/>
      </w:r>
      <w:r>
        <w:rPr>
          <w:rStyle w:val="VerbatimChar"/>
        </w:rPr>
        <w:t xml:space="preserve">Версия/сборка продукта:</w:t>
      </w:r>
      <w:r>
        <w:br/>
      </w:r>
      <w:r>
        <w:rPr>
          <w:rStyle w:val="VerbatimChar"/>
        </w:rPr>
        <w:t xml:space="preserve">ОС и версия:</w:t>
      </w:r>
      <w:r>
        <w:br/>
      </w:r>
      <w:r>
        <w:rPr>
          <w:rStyle w:val="VerbatimChar"/>
        </w:rPr>
        <w:t xml:space="preserve">Браузер и версия:</w:t>
      </w:r>
      <w:r>
        <w:br/>
      </w:r>
      <w:r>
        <w:rPr>
          <w:rStyle w:val="VerbatimChar"/>
        </w:rPr>
        <w:t xml:space="preserve">AT и версия:</w:t>
      </w:r>
      <w:r>
        <w:br/>
      </w:r>
      <w:r>
        <w:rPr>
          <w:rStyle w:val="VerbatimChar"/>
        </w:rPr>
        <w:t xml:space="preserve">Язык, viewport, ориентация и масштаб:</w:t>
      </w:r>
      <w:r>
        <w:br/>
      </w:r>
      <w:r>
        <w:rPr>
          <w:rStyle w:val="VerbatimChar"/>
        </w:rPr>
        <w:t xml:space="preserve">Способ ввода и системные настройки:</w:t>
      </w:r>
      <w:r>
        <w:br/>
      </w:r>
      <w:r>
        <w:rPr>
          <w:rStyle w:val="VerbatimChar"/>
        </w:rPr>
        <w:t xml:space="preserve">Фикстура и последовательность клавиш/жестов:</w:t>
      </w:r>
      <w:r>
        <w:br/>
      </w:r>
      <w:r>
        <w:rPr>
          <w:rStyle w:val="VerbatimChar"/>
        </w:rPr>
        <w:t xml:space="preserve">Статус:</w:t>
      </w:r>
      <w:r>
        <w:br/>
      </w:r>
      <w:r>
        <w:rPr>
          <w:rStyle w:val="VerbatimChar"/>
        </w:rPr>
        <w:t xml:space="preserve">Ожидаемый результат:</w:t>
      </w:r>
      <w:r>
        <w:br/>
      </w:r>
      <w:r>
        <w:rPr>
          <w:rStyle w:val="VerbatimChar"/>
        </w:rPr>
        <w:t xml:space="preserve">Фактический результат:</w:t>
      </w:r>
      <w:r>
        <w:br/>
      </w:r>
      <w:r>
        <w:rPr>
          <w:rStyle w:val="VerbatimChar"/>
        </w:rPr>
        <w:t xml:space="preserve">Доказательство:</w:t>
      </w:r>
      <w:r>
        <w:br/>
      </w:r>
      <w:r>
        <w:rPr>
          <w:rStyle w:val="VerbatimChar"/>
        </w:rPr>
        <w:t xml:space="preserve">Дефект:</w:t>
      </w:r>
      <w:r>
        <w:br/>
      </w:r>
      <w:r>
        <w:rPr>
          <w:rStyle w:val="VerbatimChar"/>
        </w:rPr>
        <w:t xml:space="preserve">Ссылка на вывод AT или иное доказательство:</w:t>
      </w:r>
      <w:r>
        <w:br/>
      </w:r>
      <w:r>
        <w:rPr>
          <w:rStyle w:val="VerbatimChar"/>
        </w:rPr>
        <w:t xml:space="preserve">Связанный компонент и регрессия:</w:t>
      </w:r>
      <w:r>
        <w:br/>
      </w:r>
      <w:r>
        <w:rPr>
          <w:rStyle w:val="VerbatimChar"/>
        </w:rPr>
        <w:t xml:space="preserve">Оценщик и дата:</w:t>
      </w:r>
      <w:r>
        <w:br/>
      </w:r>
      <w:r>
        <w:rPr>
          <w:rStyle w:val="VerbatimChar"/>
        </w:rPr>
        <w:t xml:space="preserve">Примечание о применимости:</w:t>
      </w:r>
    </w:p>
    <w:bookmarkEnd w:id="110"/>
    <w:bookmarkStart w:id="111" w:name="структура-итогового-отчета"/>
    <w:p>
      <w:pPr>
        <w:pStyle w:val="Heading3"/>
      </w:pPr>
      <w:bookmarkStart w:id="1300" w:name="_TocAnchor160_1299"/>
      <w:r>
        <w:t xml:space="preserve">12.6. Структура итогового отчета</w:t>
      </w:r>
      <w:bookmarkEnd w:id="1300"/>
    </w:p>
    <w:p>
      <w:pPr>
        <w:pStyle w:val="SourceCode"/>
      </w:pPr>
      <w:r>
        <w:rPr>
          <w:rStyle w:val="VerbatimChar"/>
        </w:rPr>
        <w:t xml:space="preserve">1. Резюме для принятия решения</w:t>
      </w:r>
      <w:r>
        <w:br/>
      </w:r>
      <w:r>
        <w:rPr>
          <w:rStyle w:val="VerbatimChar"/>
        </w:rPr>
        <w:t xml:space="preserve">2. Область, версия и ограничения</w:t>
      </w:r>
      <w:r>
        <w:br/>
      </w:r>
      <w:r>
        <w:rPr>
          <w:rStyle w:val="VerbatimChar"/>
        </w:rPr>
        <w:t xml:space="preserve">3. Стандарты и дополнительные правила</w:t>
      </w:r>
      <w:r>
        <w:br/>
      </w:r>
      <w:r>
        <w:rPr>
          <w:rStyle w:val="VerbatimChar"/>
        </w:rPr>
        <w:t xml:space="preserve">4. Метод исследования и выборка</w:t>
      </w:r>
      <w:r>
        <w:br/>
      </w:r>
      <w:r>
        <w:rPr>
          <w:rStyle w:val="VerbatimChar"/>
        </w:rPr>
        <w:t xml:space="preserve">5. Конфигурации</w:t>
      </w:r>
      <w:r>
        <w:br/>
      </w:r>
      <w:r>
        <w:rPr>
          <w:rStyle w:val="VerbatimChar"/>
        </w:rPr>
        <w:t xml:space="preserve">6. Итоги автоматических проверок</w:t>
      </w:r>
      <w:r>
        <w:br/>
      </w:r>
      <w:r>
        <w:rPr>
          <w:rStyle w:val="VerbatimChar"/>
        </w:rPr>
        <w:t xml:space="preserve">7. Итоги ручных проверок</w:t>
      </w:r>
      <w:r>
        <w:br/>
      </w:r>
      <w:r>
        <w:rPr>
          <w:rStyle w:val="VerbatimChar"/>
        </w:rPr>
        <w:t xml:space="preserve">8. Итоги пользовательских проверок</w:t>
      </w:r>
      <w:r>
        <w:br/>
      </w:r>
      <w:r>
        <w:rPr>
          <w:rStyle w:val="VerbatimChar"/>
        </w:rPr>
        <w:t xml:space="preserve">9. Дефекты по серьезности и процессам</w:t>
      </w:r>
      <w:r>
        <w:br/>
      </w:r>
      <w:r>
        <w:rPr>
          <w:rStyle w:val="VerbatimChar"/>
        </w:rPr>
        <w:t xml:space="preserve">10. Матрица покрытия</w:t>
      </w:r>
      <w:r>
        <w:br/>
      </w:r>
      <w:r>
        <w:rPr>
          <w:rStyle w:val="VerbatimChar"/>
        </w:rPr>
        <w:t xml:space="preserve">11. Ограничения заключения</w:t>
      </w:r>
      <w:r>
        <w:br/>
      </w:r>
      <w:r>
        <w:rPr>
          <w:rStyle w:val="VerbatimChar"/>
        </w:rPr>
        <w:t xml:space="preserve">12. План исправлений и повторной проверки</w:t>
      </w:r>
    </w:p>
    <w:bookmarkEnd w:id="111"/>
    <w:bookmarkEnd w:id="112"/>
    <w:bookmarkStart w:id="115" w:name="основные-источники"/>
    <w:p>
      <w:pPr>
        <w:pStyle w:val="Heading2"/>
      </w:pPr>
      <w:bookmarkStart w:id="1302" w:name="_TocAnchor162_1301"/>
      <w:r>
        <w:t xml:space="preserve">13. Основные источники</w:t>
      </w:r>
      <w:bookmarkEnd w:id="1302"/>
    </w:p>
    <w:p>
      <w:pPr>
        <w:pStyle w:val="Compact"/>
        <w:numPr>
          <w:ilvl w:val="0"/>
          <w:numId w:val="1010"/>
        </w:numPr>
      </w:pPr>
      <w:r>
        <w:t xml:space="preserve">W3C,</w:t>
      </w:r>
      <w:r>
        <w:t xml:space="preserve"> </w:t>
      </w:r>
      <w:hyperlink r:id="rId18">
        <w:r>
          <w:rPr>
            <w:rStyle w:val="Hyperlink"/>
          </w:rPr>
          <w:t xml:space="preserve">Web Content Accessibility Guidelines (WCAG) 2.2</w:t>
        </w:r>
      </w:hyperlink>
      <w:r>
        <w:t xml:space="preserve">, Recommendation от 12 декабря 2024 года.</w:t>
      </w:r>
    </w:p>
    <w:p>
      <w:pPr>
        <w:pStyle w:val="Compact"/>
        <w:numPr>
          <w:ilvl w:val="0"/>
          <w:numId w:val="1010"/>
        </w:numPr>
      </w:pPr>
      <w:r>
        <w:t xml:space="preserve">W3C,</w:t>
      </w:r>
      <w:r>
        <w:t xml:space="preserve"> </w:t>
      </w:r>
      <w:hyperlink r:id="rId47">
        <w:r>
          <w:rPr>
            <w:rStyle w:val="Hyperlink"/>
          </w:rPr>
          <w:t xml:space="preserve">WCAG 2.2 Conformance Requirements</w:t>
        </w:r>
      </w:hyperlink>
      <w:r>
        <w:t xml:space="preserve">.</w:t>
      </w:r>
    </w:p>
    <w:p>
      <w:pPr>
        <w:pStyle w:val="Compact"/>
        <w:numPr>
          <w:ilvl w:val="0"/>
          <w:numId w:val="1010"/>
        </w:numPr>
      </w:pPr>
      <w:r>
        <w:t xml:space="preserve">W3C,</w:t>
      </w:r>
      <w:r>
        <w:t xml:space="preserve"> </w:t>
      </w:r>
      <w:hyperlink r:id="rId21">
        <w:r>
          <w:rPr>
            <w:rStyle w:val="Hyperlink"/>
          </w:rPr>
          <w:t xml:space="preserve">WCAG Evaluation Methodology 2.0</w:t>
        </w:r>
      </w:hyperlink>
      <w:r>
        <w:t xml:space="preserve">, Group Note от 23 июля 2026 года.</w:t>
      </w:r>
    </w:p>
    <w:p>
      <w:pPr>
        <w:pStyle w:val="Compact"/>
        <w:numPr>
          <w:ilvl w:val="0"/>
          <w:numId w:val="1010"/>
        </w:numPr>
      </w:pPr>
      <w:r>
        <w:t xml:space="preserve">W3C,</w:t>
      </w:r>
      <w:r>
        <w:t xml:space="preserve"> </w:t>
      </w:r>
      <w:hyperlink r:id="rId22">
        <w:r>
          <w:rPr>
            <w:rStyle w:val="Hyperlink"/>
          </w:rPr>
          <w:t xml:space="preserve">Website Accessibility Conformance Evaluation Methodology 1.0</w:t>
        </w:r>
      </w:hyperlink>
      <w:r>
        <w:t xml:space="preserve">, предыдущая Working Group Note от 10 июля 2014 года.</w:t>
      </w:r>
    </w:p>
    <w:p>
      <w:pPr>
        <w:pStyle w:val="Compact"/>
        <w:numPr>
          <w:ilvl w:val="0"/>
          <w:numId w:val="1010"/>
        </w:numPr>
      </w:pPr>
      <w:r>
        <w:t xml:space="preserve">W3C,</w:t>
      </w:r>
      <w:r>
        <w:t xml:space="preserve"> </w:t>
      </w:r>
      <w:hyperlink r:id="rId23">
        <w:r>
          <w:rPr>
            <w:rStyle w:val="Hyperlink"/>
          </w:rPr>
          <w:t xml:space="preserve">Making Content Usable for People with Cognitive and Learning Disabilities</w:t>
        </w:r>
      </w:hyperlink>
      <w:r>
        <w:t xml:space="preserve">, Working Group Note от 29 апреля 2021 года.</w:t>
      </w:r>
    </w:p>
    <w:p>
      <w:pPr>
        <w:pStyle w:val="Compact"/>
        <w:numPr>
          <w:ilvl w:val="0"/>
          <w:numId w:val="1010"/>
        </w:numPr>
      </w:pPr>
      <w:r>
        <w:t xml:space="preserve">W3C WAI,</w:t>
      </w:r>
      <w:r>
        <w:t xml:space="preserve"> </w:t>
      </w:r>
      <w:hyperlink r:id="rId50">
        <w:r>
          <w:rPr>
            <w:rStyle w:val="Hyperlink"/>
          </w:rPr>
          <w:t xml:space="preserve">Involving Users in Evaluating Web Accessibility</w:t>
        </w:r>
      </w:hyperlink>
      <w:r>
        <w:t xml:space="preserve">.</w:t>
      </w:r>
    </w:p>
    <w:p>
      <w:pPr>
        <w:pStyle w:val="Compact"/>
        <w:numPr>
          <w:ilvl w:val="0"/>
          <w:numId w:val="1010"/>
        </w:numPr>
      </w:pPr>
      <w:r>
        <w:t xml:space="preserve">W3C,</w:t>
      </w:r>
      <w:r>
        <w:t xml:space="preserve"> </w:t>
      </w:r>
      <w:hyperlink r:id="rId24">
        <w:r>
          <w:rPr>
            <w:rStyle w:val="Hyperlink"/>
          </w:rPr>
          <w:t xml:space="preserve">Accessibility Conformance Testing Rules Format 1.1</w:t>
        </w:r>
      </w:hyperlink>
      <w:r>
        <w:t xml:space="preserve">, Recommendation от 5 февраля 2026 года.</w:t>
      </w:r>
    </w:p>
    <w:p>
      <w:pPr>
        <w:pStyle w:val="Compact"/>
        <w:numPr>
          <w:ilvl w:val="0"/>
          <w:numId w:val="1010"/>
        </w:numPr>
      </w:pPr>
      <w:r>
        <w:t xml:space="preserve">W3C WAI,</w:t>
      </w:r>
      <w:r>
        <w:t xml:space="preserve"> </w:t>
      </w:r>
      <w:hyperlink r:id="rId113">
        <w:r>
          <w:rPr>
            <w:rStyle w:val="Hyperlink"/>
          </w:rPr>
          <w:t xml:space="preserve">ARIA Authoring Practices Guide</w:t>
        </w:r>
      </w:hyperlink>
      <w:r>
        <w:t xml:space="preserve">.</w:t>
      </w:r>
    </w:p>
    <w:p>
      <w:pPr>
        <w:pStyle w:val="Compact"/>
        <w:numPr>
          <w:ilvl w:val="0"/>
          <w:numId w:val="1010"/>
        </w:numPr>
      </w:pPr>
      <w:r>
        <w:t xml:space="preserve">W3C WAI,</w:t>
      </w:r>
      <w:r>
        <w:t xml:space="preserve"> </w:t>
      </w:r>
      <w:hyperlink r:id="rId114">
        <w:r>
          <w:rPr>
            <w:rStyle w:val="Hyperlink"/>
          </w:rPr>
          <w:t xml:space="preserve">Tutorials</w:t>
        </w:r>
      </w:hyperlink>
      <w:r>
        <w:t xml:space="preserve">.</w:t>
      </w:r>
    </w:p>
    <w:p>
      <w:pPr>
        <w:pStyle w:val="Compact"/>
        <w:numPr>
          <w:ilvl w:val="0"/>
          <w:numId w:val="1010"/>
        </w:numPr>
      </w:pPr>
      <w:r>
        <w:t xml:space="preserve">Правительство РФ,</w:t>
      </w:r>
      <w:r>
        <w:t xml:space="preserve"> </w:t>
      </w:r>
      <w:hyperlink r:id="rId25">
        <w:r>
          <w:rPr>
            <w:rStyle w:val="Hyperlink"/>
          </w:rPr>
          <w:t xml:space="preserve">постановление от 07.02.2026 № 102</w:t>
        </w:r>
      </w:hyperlink>
      <w:r>
        <w:t xml:space="preserve">, действует с 01.03.2026 в пределах установленной им области.</w:t>
      </w:r>
    </w:p>
    <w:p>
      <w:pPr>
        <w:pStyle w:val="Compact"/>
        <w:numPr>
          <w:ilvl w:val="0"/>
          <w:numId w:val="1010"/>
        </w:numPr>
      </w:pPr>
      <w:r>
        <w:t xml:space="preserve">Росстандарт, официальные карточки</w:t>
      </w:r>
      <w:r>
        <w:t xml:space="preserve"> </w:t>
      </w:r>
      <w:hyperlink r:id="rId26">
        <w:r>
          <w:rPr>
            <w:rStyle w:val="Hyperlink"/>
          </w:rPr>
          <w:t xml:space="preserve">ГОСТ Р 52872-2019</w:t>
        </w:r>
      </w:hyperlink>
      <w:r>
        <w:t xml:space="preserve">,</w:t>
      </w:r>
      <w:r>
        <w:t xml:space="preserve"> </w:t>
      </w:r>
      <w:hyperlink r:id="rId27">
        <w:r>
          <w:rPr>
            <w:rStyle w:val="Hyperlink"/>
          </w:rPr>
          <w:t xml:space="preserve">ГОСТ Р 70176-2022</w:t>
        </w:r>
      </w:hyperlink>
      <w:r>
        <w:t xml:space="preserve"> </w:t>
      </w:r>
      <w:r>
        <w:t xml:space="preserve">и</w:t>
      </w:r>
      <w:r>
        <w:t xml:space="preserve"> </w:t>
      </w:r>
      <w:hyperlink r:id="rId28">
        <w:r>
          <w:rPr>
            <w:rStyle w:val="Hyperlink"/>
          </w:rPr>
          <w:t xml:space="preserve">ГОСТ Р ИСО 21801-1-2022</w:t>
        </w:r>
      </w:hyperlink>
      <w:r>
        <w:t xml:space="preserve">.</w:t>
      </w:r>
    </w:p>
    <w:p>
      <w:pPr>
        <w:pStyle w:val="Compact"/>
        <w:numPr>
          <w:ilvl w:val="0"/>
          <w:numId w:val="1010"/>
        </w:numPr>
      </w:pPr>
      <w:r>
        <w:t xml:space="preserve">Минтруд России,</w:t>
      </w:r>
      <w:r>
        <w:t xml:space="preserve"> </w:t>
      </w:r>
      <w:hyperlink r:id="rId29">
        <w:r>
          <w:rPr>
            <w:rStyle w:val="Hyperlink"/>
          </w:rPr>
          <w:t xml:space="preserve">приказ от 14.11.2025 № 647н</w:t>
        </w:r>
      </w:hyperlink>
      <w:r>
        <w:t xml:space="preserve">, вступает в силу 01.09.2027.</w:t>
      </w:r>
    </w:p>
    <w:p>
      <w:pPr>
        <w:pStyle w:val="FirstParagraph"/>
      </w:pPr>
      <w:r>
        <w:t xml:space="preserve">Ссылки и статусы источников проверены на дату версии документа. При повторном аудите их следует проверять заново.</w:t>
      </w:r>
    </w:p>
    <w:bookmarkEnd w:id="115"/>
    <w:sectPr>
      <w:footerReference r:id="rId9" w:type="default"/>
      <w:footnotePr>
        <w:numRestart w:val="eachSect"/>
      </w:footnotePr>
      <w:pgSz w:h="16838" w:w="11906"/>
      <w:pgMar w:bottom="1134" w:footer="709" w:header="709"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20"/>
      </w:rPr>
      <w:fldChar w:fldCharType="begin"/>
    </w:r>
    <w:r>
      <w:rPr>
        <w:rFonts w:ascii="Arial" w:hAnsi="Arial"/>
        <w:sz w:val="20"/>
      </w:rPr>
      <w:instrText xml:space="preserve"> PAGE  \* MERGEFORMAT </w:instrText>
    </w:r>
    <w:r>
      <w:rPr>
        <w:rFonts w:ascii="Arial" w:hAnsi="Arial"/>
        <w:sz w:val="20"/>
      </w:rPr>
      <w:fldChar w:fldCharType="separate"/>
    </w:r>
    <w:r>
      <w:rPr>
        <w:rFonts w:ascii="Arial" w:hAnsi="Arial"/>
        <w:sz w:val="20"/>
      </w:rPr>
      <w:t>1</w:t>
    </w:r>
    <w:r>
      <w:rPr>
        <w:rFonts w:ascii="Arial" w:hAnsi="Arial"/>
        <w:sz w:val="20"/>
      </w:rP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updateFields w:val="true"/>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cs="Arial" w:eastAsia="Arial" w:hAnsi="Arial"/>
        <w:sz w:val="24"/>
        <w:szCs w:val="24"/>
        <w:lang w:bidi="ar-SA" w:eastAsia="ru-RU" w:val="ru-RU"/>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Arial" w:cs="Arial" w:eastAsia="Arial" w:hAnsi="Arial"/>
      <w:sz w:val="22"/>
      <w:lang w:bidi="ar-SA" w:eastAsia="ru-RU" w:val="ru-RU"/>
    </w:rPr>
  </w:style>
  <w:style w:styleId="BodyText" w:type="paragraph">
    <w:name w:val="Body Text"/>
    <w:basedOn w:val="Normal"/>
    <w:link w:val="BodyTextChar"/>
    <w:qFormat/>
    <w:pPr>
      <w:spacing w:after="120" w:before="180" w:line="276" w:lineRule="auto"/>
    </w:pPr>
    <w:rPr>
      <w:rFonts w:ascii="Arial" w:cs="Arial" w:eastAsia="Arial" w:hAnsi="Arial"/>
      <w:sz w:val="22"/>
      <w:lang w:bidi="ar-SA" w:eastAsia="ru-RU" w:val="ru-RU"/>
    </w:rPr>
  </w:style>
  <w:style w:customStyle="1" w:styleId="FirstParagraph" w:type="paragraph">
    <w:name w:val="First Paragraph"/>
    <w:basedOn w:val="BodyText"/>
    <w:next w:val="BodyText"/>
    <w:qFormat/>
    <w:pPr>
      <w:spacing w:after="120" w:line="276" w:lineRule="auto"/>
    </w:pPr>
    <w:rPr>
      <w:rFonts w:ascii="Arial" w:cs="Arial" w:eastAsia="Arial" w:hAnsi="Arial"/>
      <w:sz w:val="22"/>
      <w:lang w:bidi="ar-SA" w:eastAsia="ru-RU" w:val="ru-RU"/>
    </w:rPr>
  </w:style>
  <w:style w:customStyle="1" w:styleId="Compact" w:type="paragraph">
    <w:name w:val="Compact"/>
    <w:basedOn w:val="BodyText"/>
    <w:qFormat/>
    <w:pPr>
      <w:spacing w:after="120" w:before="36" w:line="276" w:lineRule="auto"/>
    </w:pPr>
    <w:rPr>
      <w:rFonts w:ascii="Arial" w:cs="Arial" w:eastAsia="Arial" w:hAnsi="Arial"/>
      <w:sz w:val="22"/>
      <w:lang w:bidi="ar-SA" w:eastAsia="ru-RU" w:val="ru-RU"/>
    </w:rPr>
  </w:style>
  <w:style w:styleId="Title" w:type="paragraph">
    <w:name w:val="Title"/>
    <w:basedOn w:val="Normal"/>
    <w:next w:val="BodyText"/>
    <w:link w:val="TitleChar"/>
    <w:uiPriority w:val="10"/>
    <w:qFormat/>
    <w:rsid w:val="00A10FD9"/>
    <w:pPr>
      <w:spacing w:after="120" w:line="240" w:lineRule="auto"/>
      <w:contextualSpacing/>
      <w:jc w:val="center"/>
    </w:pPr>
    <w:rPr>
      <w:rFonts w:ascii="Arial" w:cs="Arial" w:eastAsia="Arial" w:hAnsi="Arial"/>
      <w:b/>
      <w:color w:val="12233B"/>
      <w:sz w:val="52"/>
      <w:szCs w:val="56"/>
      <w:lang w:bidi="ar-SA" w:eastAsia="ru-RU" w:val="ru-RU"/>
    </w:rPr>
  </w:style>
  <w:style w:customStyle="1" w:styleId="TitleChar" w:type="character">
    <w:name w:val="Title Char"/>
    <w:basedOn w:val="DefaultParagraphFont"/>
    <w:link w:val="Title"/>
    <w:uiPriority w:val="10"/>
    <w:rsid w:val="00A10FD9"/>
    <w:rPr>
      <w:rFonts/>
      <w:sz w:val="56"/>
      <w:szCs w:val="56"/>
    </w:rPr>
  </w:style>
  <w:style w:styleId="Subtitle" w:type="paragraph">
    <w:name w:val="Subtitle"/>
    <w:basedOn w:val="Title"/>
    <w:next w:val="BodyText"/>
    <w:link w:val="SubtitleChar"/>
    <w:uiPriority w:val="11"/>
    <w:qFormat/>
    <w:rsid w:val="00A10FD9"/>
    <w:pPr>
      <w:numPr>
        <w:ilvl w:val="1"/>
      </w:numPr>
      <w:spacing w:after="40"/>
      <w:jc w:val="center"/>
    </w:pPr>
    <w:rPr>
      <w:rFonts w:ascii="Arial" w:cs="Arial" w:eastAsia="Arial" w:hAnsi="Arial"/>
      <w:b w:val="0"/>
      <w:color w:val="12233B"/>
      <w:spacing w:val="15"/>
      <w:sz w:val="28"/>
      <w:szCs w:val="28"/>
      <w:lang w:bidi="ar-SA" w:eastAsia="ru-RU" w:val="ru-RU"/>
    </w:rPr>
  </w:style>
  <w:style w:customStyle="1" w:styleId="SubtitleChar" w:type="character">
    <w:name w:val="Subtitle Char"/>
    <w:basedOn w:val="DefaultParagraphFont"/>
    <w:link w:val="Subtitle"/>
    <w:uiPriority w:val="11"/>
    <w:rsid w:val="00A10FD9"/>
    <w:rPr>
      <w:rFonts/>
      <w:color w:themeColor="text1" w:themeTint="A6" w:val="595959"/>
      <w:spacing w:val="15"/>
      <w:sz w:val="28"/>
      <w:szCs w:val="28"/>
    </w:rPr>
  </w:style>
  <w:style w:customStyle="1" w:styleId="Author" w:type="paragraph">
    <w:name w:val="Author"/>
    <w:basedOn w:val="Title"/>
    <w:next w:val="BodyText"/>
    <w:qFormat/>
    <w:pPr>
      <w:keepNext/>
      <w:keepLines/>
      <w:jc w:val="center"/>
    </w:pPr>
    <w:rPr>
      <w:rFonts w:ascii="Arial" w:cs="Arial" w:eastAsia="Arial" w:hAnsi="Arial"/>
      <w:sz w:val="24"/>
      <w:szCs w:val="24"/>
      <w:lang w:bidi="ar-SA" w:eastAsia="ru-RU" w:val="ru-RU"/>
    </w:rPr>
  </w:style>
  <w:style w:styleId="Date" w:type="paragraph">
    <w:name w:val="Date"/>
    <w:basedOn w:val="Title"/>
    <w:next w:val="BodyText"/>
    <w:qFormat/>
    <w:pPr>
      <w:keepNext/>
      <w:keepLines/>
      <w:spacing w:after="480"/>
      <w:jc w:val="center"/>
    </w:pPr>
    <w:rPr>
      <w:rFonts w:ascii="Arial" w:cs="Arial" w:eastAsia="Arial" w:hAnsi="Arial"/>
      <w:b w:val="0"/>
      <w:color w:val="404040"/>
      <w:sz w:val="24"/>
      <w:szCs w:val="24"/>
      <w:lang w:bidi="ar-SA" w:eastAsia="ru-RU" w:val="ru-RU"/>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120" w:before="240" w:line="276" w:lineRule="auto"/>
      <w:outlineLvl w:val="0"/>
    </w:pPr>
    <w:rPr>
      <w:rFonts w:ascii="Arial" w:cs="Arial" w:eastAsia="Arial" w:hAnsi="Arial"/>
      <w:b/>
      <w:color w:val="12233B"/>
      <w:sz w:val="32"/>
      <w:szCs w:val="40"/>
      <w:lang w:bidi="ar-SA" w:eastAsia="ru-RU" w:val="ru-RU"/>
    </w:rPr>
  </w:style>
  <w:style w:styleId="Heading2" w:type="paragraph">
    <w:name w:val="heading 2"/>
    <w:basedOn w:val="Normal"/>
    <w:next w:val="BodyText"/>
    <w:link w:val="Heading2Char"/>
    <w:uiPriority w:val="9"/>
    <w:semiHidden/>
    <w:unhideWhenUsed/>
    <w:qFormat/>
    <w:rsid w:val="00A10FD9"/>
    <w:pPr>
      <w:keepNext/>
      <w:keepLines/>
      <w:spacing w:after="120" w:before="240" w:line="276" w:lineRule="auto"/>
      <w:outlineLvl w:val="1"/>
    </w:pPr>
    <w:rPr>
      <w:rFonts w:ascii="Arial" w:cs="Arial" w:eastAsia="Arial" w:hAnsi="Arial"/>
      <w:b/>
      <w:color w:val="12233B"/>
      <w:sz w:val="28"/>
      <w:szCs w:val="32"/>
      <w:lang w:bidi="ar-SA" w:eastAsia="ru-RU" w:val="ru-RU"/>
    </w:rPr>
  </w:style>
  <w:style w:styleId="Heading3" w:type="paragraph">
    <w:name w:val="heading 3"/>
    <w:basedOn w:val="Normal"/>
    <w:next w:val="BodyText"/>
    <w:link w:val="Heading3Char"/>
    <w:uiPriority w:val="9"/>
    <w:semiHidden/>
    <w:unhideWhenUsed/>
    <w:qFormat/>
    <w:rsid w:val="00A10FD9"/>
    <w:pPr>
      <w:keepNext/>
      <w:keepLines/>
      <w:spacing w:after="120" w:before="240" w:line="276" w:lineRule="auto"/>
      <w:outlineLvl w:val="2"/>
    </w:pPr>
    <w:rPr>
      <w:rFonts w:ascii="Arial" w:cs="Arial" w:eastAsia="Arial" w:hAnsi="Arial"/>
      <w:b/>
      <w:color w:val="12233B"/>
      <w:sz w:val="24"/>
      <w:szCs w:val="28"/>
      <w:lang w:bidi="ar-SA" w:eastAsia="ru-RU" w:val="ru-RU"/>
    </w:rPr>
  </w:style>
  <w:style w:styleId="Heading4" w:type="paragraph">
    <w:name w:val="heading 4"/>
    <w:basedOn w:val="Normal"/>
    <w:next w:val="BodyText"/>
    <w:link w:val="Heading4Char"/>
    <w:uiPriority w:val="9"/>
    <w:semiHidden/>
    <w:unhideWhenUsed/>
    <w:qFormat/>
    <w:rsid w:val="00A10FD9"/>
    <w:pPr>
      <w:keepNext/>
      <w:keepLines/>
      <w:spacing w:after="120" w:before="200" w:line="276" w:lineRule="auto"/>
      <w:outlineLvl w:val="3"/>
    </w:pPr>
    <w:rPr>
      <w:rFonts w:ascii="Arial" w:cs="Arial" w:eastAsia="Arial" w:hAnsi="Arial"/>
      <w:b/>
      <w:i/>
      <w:iCs/>
      <w:color w:val="12233B"/>
      <w:sz w:val="24"/>
      <w:lang w:bidi="ar-SA" w:eastAsia="ru-RU" w:val="ru-RU"/>
    </w:rPr>
  </w:style>
  <w:style w:styleId="Heading5" w:type="paragraph">
    <w:name w:val="heading 5"/>
    <w:basedOn w:val="Normal"/>
    <w:next w:val="BodyText"/>
    <w:link w:val="Heading5Char"/>
    <w:uiPriority w:val="9"/>
    <w:semiHidden/>
    <w:unhideWhenUsed/>
    <w:qFormat/>
    <w:rsid w:val="00A10FD9"/>
    <w:pPr>
      <w:keepNext/>
      <w:keepLines/>
      <w:spacing w:after="120" w:before="200" w:line="276" w:lineRule="auto"/>
      <w:outlineLvl w:val="4"/>
    </w:pPr>
    <w:rPr>
      <w:rFonts w:ascii="Arial" w:cs="Arial" w:eastAsia="Arial" w:hAnsi="Arial"/>
      <w:b/>
      <w:color w:val="12233B"/>
      <w:sz w:val="22"/>
      <w:lang w:bidi="ar-SA" w:eastAsia="ru-RU" w:val="ru-RU"/>
    </w:rPr>
  </w:style>
  <w:style w:styleId="Heading6" w:type="paragraph">
    <w:name w:val="heading 6"/>
    <w:basedOn w:val="Normal"/>
    <w:next w:val="BodyText"/>
    <w:link w:val="Heading6Char"/>
    <w:uiPriority w:val="9"/>
    <w:semiHidden/>
    <w:unhideWhenUsed/>
    <w:qFormat/>
    <w:rsid w:val="00A10FD9"/>
    <w:pPr>
      <w:keepNext/>
      <w:keepLines/>
      <w:spacing w:after="120" w:before="200" w:line="276" w:lineRule="auto"/>
      <w:outlineLvl w:val="5"/>
    </w:pPr>
    <w:rPr>
      <w:rFonts w:ascii="Arial" w:cs="Arial" w:eastAsia="Arial" w:hAnsi="Arial"/>
      <w:b/>
      <w:i/>
      <w:iCs/>
      <w:color w:val="12233B"/>
      <w:sz w:val="22"/>
      <w:lang w:bidi="ar-SA" w:eastAsia="ru-RU" w:val="ru-RU"/>
    </w:rPr>
  </w:style>
  <w:style w:styleId="Heading7" w:type="paragraph">
    <w:name w:val="heading 7"/>
    <w:basedOn w:val="Normal"/>
    <w:next w:val="BodyText"/>
    <w:link w:val="Heading7Char"/>
    <w:uiPriority w:val="9"/>
    <w:semiHidden/>
    <w:unhideWhenUsed/>
    <w:qFormat/>
    <w:rsid w:val="00A10FD9"/>
    <w:pPr>
      <w:keepNext/>
      <w:keepLines/>
      <w:spacing w:after="120" w:before="200" w:line="276" w:lineRule="auto"/>
      <w:outlineLvl w:val="6"/>
    </w:pPr>
    <w:rPr>
      <w:rFonts w:ascii="Arial" w:cs="Arial" w:eastAsia="Arial" w:hAnsi="Arial"/>
      <w:b/>
      <w:color w:val="12233B"/>
      <w:sz w:val="22"/>
      <w:lang w:bidi="ar-SA" w:eastAsia="ru-RU" w:val="ru-RU"/>
    </w:rPr>
  </w:style>
  <w:style w:styleId="Heading8" w:type="paragraph">
    <w:name w:val="heading 8"/>
    <w:basedOn w:val="Normal"/>
    <w:next w:val="BodyText"/>
    <w:link w:val="Heading8Char"/>
    <w:uiPriority w:val="9"/>
    <w:semiHidden/>
    <w:unhideWhenUsed/>
    <w:qFormat/>
    <w:rsid w:val="00A10FD9"/>
    <w:pPr>
      <w:keepNext/>
      <w:keepLines/>
      <w:spacing w:after="120" w:before="200" w:line="276" w:lineRule="auto"/>
      <w:outlineLvl w:val="7"/>
    </w:pPr>
    <w:rPr>
      <w:rFonts w:ascii="Arial" w:cs="Arial" w:eastAsia="Arial" w:hAnsi="Arial"/>
      <w:b/>
      <w:i/>
      <w:iCs/>
      <w:color w:val="12233B"/>
      <w:sz w:val="22"/>
      <w:lang w:bidi="ar-SA" w:eastAsia="ru-RU" w:val="ru-RU"/>
    </w:rPr>
  </w:style>
  <w:style w:styleId="Heading9" w:type="paragraph">
    <w:name w:val="heading 9"/>
    <w:basedOn w:val="Normal"/>
    <w:next w:val="BodyText"/>
    <w:link w:val="Heading9Char"/>
    <w:uiPriority w:val="9"/>
    <w:semiHidden/>
    <w:unhideWhenUsed/>
    <w:qFormat/>
    <w:rsid w:val="00A10FD9"/>
    <w:pPr>
      <w:keepNext/>
      <w:keepLines/>
      <w:spacing w:after="120" w:before="200" w:line="276" w:lineRule="auto"/>
      <w:outlineLvl w:val="8"/>
    </w:pPr>
    <w:rPr>
      <w:rFonts w:ascii="Arial" w:cs="Arial" w:eastAsia="Arial" w:hAnsi="Arial"/>
      <w:b/>
      <w:color w:val="12233B"/>
      <w:sz w:val="22"/>
      <w:lang w:bidi="ar-SA" w:eastAsia="ru-RU" w:val="ru-RU"/>
    </w:rPr>
  </w:style>
  <w:style w:customStyle="1" w:styleId="Heading1Char" w:type="character">
    <w:name w:val="Heading 1 Char"/>
    <w:basedOn w:val="DefaultParagraphFont"/>
    <w:link w:val="Heading1"/>
    <w:uiPriority w:val="9"/>
    <w:rsid w:val="00A10FD9"/>
    <w:rPr>
      <w:rFonts/>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i/>
      <w:iCs/>
      <w:color w:themeColor="accent1" w:themeShade="BF" w:val="0F4761"/>
    </w:rPr>
  </w:style>
  <w:style w:customStyle="1" w:styleId="Heading5Char" w:type="character">
    <w:name w:val="Heading 5 Char"/>
    <w:basedOn w:val="DefaultParagraphFont"/>
    <w:link w:val="Heading5"/>
    <w:uiPriority w:val="9"/>
    <w:semiHidden/>
    <w:rsid w:val="00A10FD9"/>
    <w:rPr>
      <w:rFonts/>
      <w:color w:themeColor="accent1" w:themeShade="BF" w:val="0F4761"/>
    </w:rPr>
  </w:style>
  <w:style w:customStyle="1" w:styleId="Heading6Char" w:type="character">
    <w:name w:val="Heading 6 Char"/>
    <w:basedOn w:val="DefaultParagraphFont"/>
    <w:link w:val="Heading6"/>
    <w:uiPriority w:val="9"/>
    <w:semiHidden/>
    <w:rsid w:val="00A10FD9"/>
    <w:rPr>
      <w:rFonts/>
      <w:i/>
      <w:iCs/>
      <w:color w:themeColor="text1" w:themeTint="A6" w:val="595959"/>
    </w:rPr>
  </w:style>
  <w:style w:customStyle="1" w:styleId="Heading7Char" w:type="character">
    <w:name w:val="Heading 7 Char"/>
    <w:basedOn w:val="DefaultParagraphFont"/>
    <w:link w:val="Heading7"/>
    <w:uiPriority w:val="9"/>
    <w:semiHidden/>
    <w:rsid w:val="00A10FD9"/>
    <w:rPr>
      <w:rFonts/>
      <w:color w:themeColor="text1" w:themeTint="A6" w:val="595959"/>
    </w:rPr>
  </w:style>
  <w:style w:customStyle="1" w:styleId="Heading8Char" w:type="character">
    <w:name w:val="Heading 8 Char"/>
    <w:basedOn w:val="DefaultParagraphFont"/>
    <w:link w:val="Heading8"/>
    <w:uiPriority w:val="9"/>
    <w:semiHidden/>
    <w:rsid w:val="00A10FD9"/>
    <w:rPr>
      <w:rFonts/>
      <w:i/>
      <w:iCs/>
      <w:color w:themeColor="text1" w:themeTint="D8" w:val="272727"/>
    </w:rPr>
  </w:style>
  <w:style w:customStyle="1" w:styleId="Heading9Char" w:type="character">
    <w:name w:val="Heading 9 Char"/>
    <w:basedOn w:val="DefaultParagraphFont"/>
    <w:link w:val="Heading9"/>
    <w:uiPriority w:val="9"/>
    <w:semiHidden/>
    <w:rsid w:val="00A10FD9"/>
    <w:rPr>
      <w:rFonts/>
      <w:color w:themeColor="text1" w:themeTint="D8" w:val="272727"/>
    </w:rPr>
  </w:style>
  <w:style w:styleId="BlockText" w:type="paragraph">
    <w:name w:val="Block Text"/>
    <w:basedOn w:val="BodyText"/>
    <w:next w:val="BodyText"/>
    <w:uiPriority w:val="9"/>
    <w:unhideWhenUsed/>
    <w:qFormat/>
    <w:pPr>
      <w:spacing w:after="120" w:before="100" w:line="276" w:lineRule="auto"/>
      <w:ind w:firstLine="0" w:left="480" w:right="480"/>
    </w:pPr>
    <w:rPr>
      <w:rFonts w:ascii="Arial" w:cs="Arial" w:eastAsia="Arial" w:hAnsi="Arial"/>
      <w:sz w:val="22"/>
      <w:lang w:bidi="ar-SA" w:eastAsia="ru-RU" w:val="ru-RU"/>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pPr>
      <w:spacing w:after="60" w:line="276" w:lineRule="auto"/>
    </w:pPr>
    <w:rPr>
      <w:rFonts w:ascii="Arial" w:cs="Arial" w:eastAsia="Arial" w:hAnsi="Arial"/>
      <w:sz w:val="22"/>
      <w:lang w:bidi="ar-SA" w:eastAsia="ru-RU" w:val="ru-RU"/>
    </w:rPr>
    <w:tblPr>
      <w:tblInd w:type="dxa" w:w="0"/>
      <w:tblCellMar>
        <w:top w:type="dxa" w:w="0"/>
        <w:left w:type="dxa" w:w="108"/>
        <w:bottom w:type="dxa" w:w="0"/>
        <w:right w:type="dxa" w:w="108"/>
      </w:tblCellMar>
      <w:tblBorders>
        <w:top w:color="999999" w:space="0" w:sz="4" w:val="single"/>
        <w:left w:color="999999" w:space="0" w:sz="4" w:val="single"/>
        <w:bottom w:color="999999" w:space="0" w:sz="4" w:val="single"/>
        <w:right w:color="999999" w:space="0" w:sz="4" w:val="single"/>
        <w:insideH w:color="999999" w:space="0" w:sz="4" w:val="single"/>
        <w:insideV w:color="999999" w:space="0" w:sz="4" w:val="single"/>
      </w:tblBorders>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120" w:line="276" w:lineRule="auto"/>
    </w:pPr>
    <w:rPr>
      <w:rFonts w:ascii="Arial" w:cs="Arial" w:eastAsia="Arial" w:hAnsi="Arial"/>
      <w:b/>
      <w:sz w:val="22"/>
      <w:lang w:bidi="ar-SA" w:eastAsia="ru-RU" w:val="ru-RU"/>
    </w:rPr>
  </w:style>
  <w:style w:customStyle="1" w:styleId="Definition" w:type="paragraph">
    <w:name w:val="Definition"/>
    <w:basedOn w:val="Normal"/>
    <w:pPr>
      <w:spacing w:after="120" w:line="276" w:lineRule="auto"/>
    </w:pPr>
    <w:rPr>
      <w:rFonts w:ascii="Arial" w:cs="Arial" w:eastAsia="Arial" w:hAnsi="Arial"/>
      <w:sz w:val="22"/>
      <w:lang w:bidi="ar-SA" w:eastAsia="ru-RU" w:val="ru-RU"/>
    </w:rPr>
  </w:style>
  <w:style w:styleId="Caption" w:type="paragraph">
    <w:name w:val="Caption"/>
    <w:basedOn w:val="Normal"/>
    <w:link w:val="BodyTextChar"/>
    <w:pPr>
      <w:spacing w:after="120" w:before="0" w:line="276" w:lineRule="auto"/>
    </w:pPr>
    <w:rPr>
      <w:rFonts w:ascii="Arial" w:cs="Arial" w:eastAsia="Arial" w:hAnsi="Arial"/>
      <w:i/>
      <w:sz w:val="22"/>
      <w:lang w:bidi="ar-SA" w:eastAsia="ru-RU" w:val="ru-RU"/>
    </w:rPr>
  </w:style>
  <w:style w:customStyle="1" w:styleId="TableCaption" w:type="paragraph">
    <w:name w:val="Table Caption"/>
    <w:basedOn w:val="Caption"/>
    <w:pPr>
      <w:keepNext/>
      <w:spacing w:after="120" w:line="276" w:lineRule="auto"/>
    </w:pPr>
    <w:rPr>
      <w:rFonts w:ascii="Arial" w:cs="Arial" w:eastAsia="Arial" w:hAnsi="Arial"/>
      <w:sz w:val="22"/>
      <w:lang w:bidi="ar-SA" w:eastAsia="ru-RU" w:val="ru-RU"/>
    </w:rPr>
  </w:style>
  <w:style w:customStyle="1" w:styleId="ImageCaption" w:type="paragraph">
    <w:name w:val="Image Caption"/>
    <w:basedOn w:val="Caption"/>
    <w:pPr>
      <w:spacing w:after="120" w:line="276" w:lineRule="auto"/>
    </w:pPr>
    <w:rPr>
      <w:rFonts w:ascii="Arial" w:cs="Arial" w:eastAsia="Arial" w:hAnsi="Arial"/>
      <w:sz w:val="22"/>
      <w:lang w:bidi="ar-SA" w:eastAsia="ru-RU" w:val="ru-RU"/>
    </w:rPr>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rFonts w:ascii="Arial" w:cs="Arial" w:eastAsia="Arial" w:hAnsi="Arial"/>
      <w:color w:val="004A8F"/>
      <w:sz w:val="22"/>
      <w:lang w:bidi="ar-SA" w:eastAsia="ru-RU" w:val="ru-RU"/>
    </w:rPr>
  </w:style>
  <w:style w:styleId="TOCHeading" w:type="paragraph">
    <w:name w:val="TOC Heading"/>
    <w:basedOn w:val="Heading1"/>
    <w:next w:val="BodyText"/>
    <w:uiPriority w:val="39"/>
    <w:unhideWhenUsed/>
    <w:qFormat/>
    <w:pPr>
      <w:spacing w:before="240" w:line="259" w:lineRule="auto"/>
      <w:outlineLvl w:val="9"/>
    </w:pPr>
    <w:rPr>
      <w:rFonts w:ascii="Arial" w:cs="Arial" w:eastAsia="Arial" w:hAnsi="Arial"/>
      <w:b/>
      <w:bCs w:val="0"/>
      <w:color w:val="12233B"/>
      <w:sz w:val="28"/>
      <w:lang w:bidi="ar-SA" w:eastAsia="ru-RU" w:val="ru-RU"/>
    </w:rPr>
  </w:style>
  <w:style w:customStyle="1" w:styleId="TOC1" w:type="paragraph">
    <w:name w:val="TOC 1"/>
    <w:basedOn w:val="Normal"/>
    <w:pPr>
      <w:spacing w:after="40" w:before="0" w:line="276" w:lineRule="auto"/>
      <w:ind w:left="0"/>
    </w:pPr>
    <w:rPr>
      <w:rFonts w:ascii="Arial" w:cs="Arial" w:eastAsia="Arial" w:hAnsi="Arial"/>
      <w:b/>
      <w:sz w:val="22"/>
      <w:lang w:bidi="ar-SA" w:eastAsia="ru-RU" w:val="ru-RU"/>
    </w:rPr>
    <w:tabs>
      <w:tab w:leader="dot" w:pos="9638" w:val="right"/>
    </w:tabs>
  </w:style>
  <w:style w:customStyle="1" w:styleId="TOC2" w:type="paragraph">
    <w:name w:val="TOC 2"/>
    <w:basedOn w:val="Normal"/>
    <w:pPr>
      <w:spacing w:after="40" w:before="0" w:line="276" w:lineRule="auto"/>
      <w:ind w:left="283"/>
    </w:pPr>
    <w:rPr>
      <w:rFonts w:ascii="Arial" w:cs="Arial" w:eastAsia="Arial" w:hAnsi="Arial"/>
      <w:b w:val="0"/>
      <w:sz w:val="22"/>
      <w:lang w:bidi="ar-SA" w:eastAsia="ru-RU" w:val="ru-RU"/>
    </w:rPr>
    <w:tabs>
      <w:tab w:leader="dot" w:pos="9638" w:val="right"/>
    </w:tabs>
  </w:style>
  <w:style w:customStyle="1" w:styleId="TOC3" w:type="paragraph">
    <w:name w:val="TOC 3"/>
    <w:basedOn w:val="Normal"/>
    <w:pPr>
      <w:spacing w:after="40" w:before="0" w:line="276" w:lineRule="auto"/>
      <w:ind w:left="567"/>
    </w:pPr>
    <w:rPr>
      <w:rFonts w:ascii="Arial" w:cs="Arial" w:eastAsia="Arial" w:hAnsi="Arial"/>
      <w:b w:val="0"/>
      <w:sz w:val="22"/>
      <w:lang w:bidi="ar-SA" w:eastAsia="ru-RU" w:val="ru-RU"/>
    </w:rPr>
    <w:tabs>
      <w:tab w:leader="dot" w:pos="9638" w:val="right"/>
    </w:tabs>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7" Type="http://schemas.openxmlformats.org/officeDocument/2006/relationships/numbering" Target="numbering.xml"/><Relationship Id="rId16" Type="http://schemas.openxmlformats.org/officeDocument/2006/relationships/styles" Target="styles.xml"/><Relationship Id="rId15" Type="http://schemas.openxmlformats.org/officeDocument/2006/relationships/settings" Target="settings.xml"/><Relationship Id="rId14" Type="http://schemas.openxmlformats.org/officeDocument/2006/relationships/webSettings" Target="webSettings.xml"/><Relationship Id="rId13" Type="http://schemas.openxmlformats.org/officeDocument/2006/relationships/fontTable" Target="fontTable.xml"/><Relationship Id="rId12" Type="http://schemas.openxmlformats.org/officeDocument/2006/relationships/theme" Target="theme/theme1.xml"/><Relationship Id="rId11" Type="http://schemas.openxmlformats.org/officeDocument/2006/relationships/footnotes" Target="footnotes.xml"/><Relationship Id="rId10" Type="http://schemas.openxmlformats.org/officeDocument/2006/relationships/comments" Target="comments.xml"/><Relationship Id="rId9" Type="http://schemas.openxmlformats.org/officeDocument/2006/relationships/footer" Target="footer1.xml"/><Relationship Id="rId25" Type="http://schemas.openxmlformats.org/officeDocument/2006/relationships/hyperlink" Target="http://publication.pravo.gov.ru/document/0001202602100010" TargetMode="External"/><Relationship Id="rId29" Type="http://schemas.openxmlformats.org/officeDocument/2006/relationships/hyperlink" Target="https://mintrud.gov.ru/docs/mintrud/orders/3157" TargetMode="External"/><Relationship Id="rId27" Type="http://schemas.openxmlformats.org/officeDocument/2006/relationships/hyperlink" Target="https://protect.gost.ru/gost/details/083ccfc7-6861-42d0-9861-011a7958fc71" TargetMode="External"/><Relationship Id="rId26" Type="http://schemas.openxmlformats.org/officeDocument/2006/relationships/hyperlink" Target="https://protect.gost.ru/gost/details/2d10ff38-d609-4dcc-899f-c18b77ac0b75" TargetMode="External"/><Relationship Id="rId28" Type="http://schemas.openxmlformats.org/officeDocument/2006/relationships/hyperlink" Target="https://protect.gost.ru/gost/details/cb967146-1714-4f81-9f93-86c2ddd9c9d0" TargetMode="External"/><Relationship Id="rId22" Type="http://schemas.openxmlformats.org/officeDocument/2006/relationships/hyperlink" Target="https://www.w3.org/TR/2014/NOTE-WCAG-EM-20140710/" TargetMode="External"/><Relationship Id="rId18" Type="http://schemas.openxmlformats.org/officeDocument/2006/relationships/hyperlink" Target="https://www.w3.org/TR/WCAG22/" TargetMode="External"/><Relationship Id="rId87" Type="http://schemas.openxmlformats.org/officeDocument/2006/relationships/hyperlink" Target="https://www.w3.org/TR/WCAG22/#accessible-authentication-minimum" TargetMode="External"/><Relationship Id="rId92" Type="http://schemas.openxmlformats.org/officeDocument/2006/relationships/hyperlink" Target="https://www.w3.org/TR/WCAG22/#audio-description-or-media-alternative-prerecorded" TargetMode="External"/><Relationship Id="rId94" Type="http://schemas.openxmlformats.org/officeDocument/2006/relationships/hyperlink" Target="https://www.w3.org/TR/WCAG22/#audio-description-prerecorded" TargetMode="External"/><Relationship Id="rId90" Type="http://schemas.openxmlformats.org/officeDocument/2006/relationships/hyperlink" Target="https://www.w3.org/TR/WCAG22/#audio-only-and-video-only-prerecorded" TargetMode="External"/><Relationship Id="rId93" Type="http://schemas.openxmlformats.org/officeDocument/2006/relationships/hyperlink" Target="https://www.w3.org/TR/WCAG22/#captions-live" TargetMode="External"/><Relationship Id="rId91" Type="http://schemas.openxmlformats.org/officeDocument/2006/relationships/hyperlink" Target="https://www.w3.org/TR/WCAG22/#captions-prerecorded" TargetMode="External"/><Relationship Id="rId95" Type="http://schemas.openxmlformats.org/officeDocument/2006/relationships/hyperlink" Target="https://www.w3.org/TR/WCAG22/#cc2" TargetMode="External"/><Relationship Id="rId38" Type="http://schemas.openxmlformats.org/officeDocument/2006/relationships/hyperlink" Target="https://www.w3.org/TR/WCAG22/#cc3" TargetMode="External"/><Relationship Id="rId47" Type="http://schemas.openxmlformats.org/officeDocument/2006/relationships/hyperlink" Target="https://www.w3.org/TR/WCAG22/#conformance-reqs" TargetMode="External"/><Relationship Id="rId81" Type="http://schemas.openxmlformats.org/officeDocument/2006/relationships/hyperlink" Target="https://www.w3.org/TR/WCAG22/#consistent-help" TargetMode="External"/><Relationship Id="rId80" Type="http://schemas.openxmlformats.org/officeDocument/2006/relationships/hyperlink" Target="https://www.w3.org/TR/WCAG22/#consistent-identification" TargetMode="External"/><Relationship Id="rId79" Type="http://schemas.openxmlformats.org/officeDocument/2006/relationships/hyperlink" Target="https://www.w3.org/TR/WCAG22/#consistent-navigation" TargetMode="External"/><Relationship Id="rId59" Type="http://schemas.openxmlformats.org/officeDocument/2006/relationships/hyperlink" Target="https://www.w3.org/TR/WCAG22/#contrast-minimum" TargetMode="External"/><Relationship Id="rId44" Type="http://schemas.openxmlformats.org/officeDocument/2006/relationships/hyperlink" Target="https://www.w3.org/TR/WCAG22/#dfn-accessibility-supported" TargetMode="External"/><Relationship Id="rId72" Type="http://schemas.openxmlformats.org/officeDocument/2006/relationships/hyperlink" Target="https://www.w3.org/TR/WCAG22/#dragging-movements" TargetMode="External"/><Relationship Id="rId83" Type="http://schemas.openxmlformats.org/officeDocument/2006/relationships/hyperlink" Target="https://www.w3.org/TR/WCAG22/#error-identification" TargetMode="External"/><Relationship Id="rId85" Type="http://schemas.openxmlformats.org/officeDocument/2006/relationships/hyperlink" Target="https://www.w3.org/TR/WCAG22/#error-prevention-legal-financial-data" TargetMode="External"/><Relationship Id="rId84" Type="http://schemas.openxmlformats.org/officeDocument/2006/relationships/hyperlink" Target="https://www.w3.org/TR/WCAG22/#error-suggestion" TargetMode="External"/><Relationship Id="rId71" Type="http://schemas.openxmlformats.org/officeDocument/2006/relationships/hyperlink" Target="https://www.w3.org/TR/WCAG22/#focus-not-obscured-minimum" TargetMode="External"/><Relationship Id="rId68" Type="http://schemas.openxmlformats.org/officeDocument/2006/relationships/hyperlink" Target="https://www.w3.org/TR/WCAG22/#focus-order" TargetMode="External"/><Relationship Id="rId70" Type="http://schemas.openxmlformats.org/officeDocument/2006/relationships/hyperlink" Target="https://www.w3.org/TR/WCAG22/#focus-visible" TargetMode="External"/><Relationship Id="rId55" Type="http://schemas.openxmlformats.org/officeDocument/2006/relationships/hyperlink" Target="https://www.w3.org/TR/WCAG22/#info-and-relationships" TargetMode="External"/><Relationship Id="rId64" Type="http://schemas.openxmlformats.org/officeDocument/2006/relationships/hyperlink" Target="https://www.w3.org/TR/WCAG22/#keyboard" TargetMode="External"/><Relationship Id="rId74" Type="http://schemas.openxmlformats.org/officeDocument/2006/relationships/hyperlink" Target="https://www.w3.org/TR/WCAG22/#label-in-name" TargetMode="External"/><Relationship Id="rId82" Type="http://schemas.openxmlformats.org/officeDocument/2006/relationships/hyperlink" Target="https://www.w3.org/TR/WCAG22/#labels-or-instructions" TargetMode="External"/><Relationship Id="rId75" Type="http://schemas.openxmlformats.org/officeDocument/2006/relationships/hyperlink" Target="https://www.w3.org/TR/WCAG22/#language-of-page" TargetMode="External"/><Relationship Id="rId76" Type="http://schemas.openxmlformats.org/officeDocument/2006/relationships/hyperlink" Target="https://www.w3.org/TR/WCAG22/#language-of-parts" TargetMode="External"/><Relationship Id="rId69" Type="http://schemas.openxmlformats.org/officeDocument/2006/relationships/hyperlink" Target="https://www.w3.org/TR/WCAG22/#link-purpose-in-context" TargetMode="External"/><Relationship Id="rId56" Type="http://schemas.openxmlformats.org/officeDocument/2006/relationships/hyperlink" Target="https://www.w3.org/TR/WCAG22/#meaningful-sequence" TargetMode="External"/><Relationship Id="rId88" Type="http://schemas.openxmlformats.org/officeDocument/2006/relationships/hyperlink" Target="https://www.w3.org/TR/WCAG22/#name-role-value" TargetMode="External"/><Relationship Id="rId65" Type="http://schemas.openxmlformats.org/officeDocument/2006/relationships/hyperlink" Target="https://www.w3.org/TR/WCAG22/#no-keyboard-trap" TargetMode="External"/><Relationship Id="rId54" Type="http://schemas.openxmlformats.org/officeDocument/2006/relationships/hyperlink" Target="https://www.w3.org/TR/WCAG22/#non-text-content" TargetMode="External"/><Relationship Id="rId60" Type="http://schemas.openxmlformats.org/officeDocument/2006/relationships/hyperlink" Target="https://www.w3.org/TR/WCAG22/#non-text-contrast" TargetMode="External"/><Relationship Id="rId77" Type="http://schemas.openxmlformats.org/officeDocument/2006/relationships/hyperlink" Target="https://www.w3.org/TR/WCAG22/#on-focus" TargetMode="External"/><Relationship Id="rId78" Type="http://schemas.openxmlformats.org/officeDocument/2006/relationships/hyperlink" Target="https://www.w3.org/TR/WCAG22/#on-input" TargetMode="External"/><Relationship Id="rId66" Type="http://schemas.openxmlformats.org/officeDocument/2006/relationships/hyperlink" Target="https://www.w3.org/TR/WCAG22/#pause-stop-hide" TargetMode="External"/><Relationship Id="rId86" Type="http://schemas.openxmlformats.org/officeDocument/2006/relationships/hyperlink" Target="https://www.w3.org/TR/WCAG22/#redundant-entry" TargetMode="External"/><Relationship Id="rId62" Type="http://schemas.openxmlformats.org/officeDocument/2006/relationships/hyperlink" Target="https://www.w3.org/TR/WCAG22/#reflow" TargetMode="External"/><Relationship Id="rId61" Type="http://schemas.openxmlformats.org/officeDocument/2006/relationships/hyperlink" Target="https://www.w3.org/TR/WCAG22/#resize-text" TargetMode="External"/><Relationship Id="rId57" Type="http://schemas.openxmlformats.org/officeDocument/2006/relationships/hyperlink" Target="https://www.w3.org/TR/WCAG22/#sensory-characteristics" TargetMode="External"/><Relationship Id="rId89" Type="http://schemas.openxmlformats.org/officeDocument/2006/relationships/hyperlink" Target="https://www.w3.org/TR/WCAG22/#status-messages" TargetMode="External"/><Relationship Id="rId73" Type="http://schemas.openxmlformats.org/officeDocument/2006/relationships/hyperlink" Target="https://www.w3.org/TR/WCAG22/#target-size-minimum" TargetMode="External"/><Relationship Id="rId63" Type="http://schemas.openxmlformats.org/officeDocument/2006/relationships/hyperlink" Target="https://www.w3.org/TR/WCAG22/#text-spacing" TargetMode="External"/><Relationship Id="rId67" Type="http://schemas.openxmlformats.org/officeDocument/2006/relationships/hyperlink" Target="https://www.w3.org/TR/WCAG22/#three-flashes-or-below-threshold" TargetMode="External"/><Relationship Id="rId99" Type="http://schemas.openxmlformats.org/officeDocument/2006/relationships/hyperlink" Target="https://www.w3.org/TR/WCAG22/#timing-adjustable" TargetMode="External"/><Relationship Id="rId58" Type="http://schemas.openxmlformats.org/officeDocument/2006/relationships/hyperlink" Target="https://www.w3.org/TR/WCAG22/#use-of-color" TargetMode="External"/><Relationship Id="rId24" Type="http://schemas.openxmlformats.org/officeDocument/2006/relationships/hyperlink" Target="https://www.w3.org/TR/act-rules-format-1.1/" TargetMode="External"/><Relationship Id="rId23" Type="http://schemas.openxmlformats.org/officeDocument/2006/relationships/hyperlink" Target="https://www.w3.org/TR/coga-usable/" TargetMode="External"/><Relationship Id="rId96" Type="http://schemas.openxmlformats.org/officeDocument/2006/relationships/hyperlink" Target="https://www.w3.org/TR/coga-usable/#design-guide" TargetMode="External"/><Relationship Id="rId97" Type="http://schemas.openxmlformats.org/officeDocument/2006/relationships/hyperlink" Target="https://www.w3.org/TR/coga-usable/#objective-4-help-users-avoid-mistakes-and-know-how-to-correct-them" TargetMode="External"/><Relationship Id="rId98" Type="http://schemas.openxmlformats.org/officeDocument/2006/relationships/hyperlink" Target="https://www.w3.org/TR/coga-usable/#summary" TargetMode="External"/><Relationship Id="rId21" Type="http://schemas.openxmlformats.org/officeDocument/2006/relationships/hyperlink" Target="https://www.w3.org/TR/wcag-em-2/" TargetMode="External"/><Relationship Id="rId41" Type="http://schemas.openxmlformats.org/officeDocument/2006/relationships/hyperlink" Target="https://www.w3.org/TR/wcag-em-2/#relation-to-wcag-2-conformance-claims" TargetMode="External"/><Relationship Id="rId33" Type="http://schemas.openxmlformats.org/officeDocument/2006/relationships/hyperlink" Target="https://www.w3.org/TR/wcag-em-2/#step2" TargetMode="External"/><Relationship Id="rId36" Type="http://schemas.openxmlformats.org/officeDocument/2006/relationships/hyperlink" Target="https://www.w3.org/TR/wcag-em-2/#step3b" TargetMode="External"/><Relationship Id="rId39" Type="http://schemas.openxmlformats.org/officeDocument/2006/relationships/hyperlink" Target="https://www.w3.org/TR/wcag-em-2/#step3c" TargetMode="External"/><Relationship Id="rId48" Type="http://schemas.openxmlformats.org/officeDocument/2006/relationships/hyperlink" Target="https://www.w3.org/TR/wcag-em-2/#step4" TargetMode="External"/><Relationship Id="rId19" Type="http://schemas.openxmlformats.org/officeDocument/2006/relationships/hyperlink" Target="https://www.w3.org/TR/wcag-em-2/#step5d" TargetMode="External"/><Relationship Id="rId113" Type="http://schemas.openxmlformats.org/officeDocument/2006/relationships/hyperlink" Target="https://www.w3.org/WAI/ARIA/apg/" TargetMode="External"/><Relationship Id="rId50" Type="http://schemas.openxmlformats.org/officeDocument/2006/relationships/hyperlink" Target="https://www.w3.org/WAI/test-evaluate/involving-users/" TargetMode="External"/><Relationship Id="rId114" Type="http://schemas.openxmlformats.org/officeDocument/2006/relationships/hyperlink" Target="https://www.w3.org/WAI/tutorials/" TargetMode="External"/><Relationship Id="rId100" Type="http://schemas.openxmlformats.org/officeDocument/2006/relationships/hyperlink" Target="ponyatnost.docx" TargetMode="External"/><Relationship Id="rId53" Type="http://schemas.openxmlformats.org/officeDocument/2006/relationships/hyperlink" Target="protokoly.docx" TargetMode="External"/></Relationships>
</file>

<file path=word/_rels/footnotes.xml.rels><?xml version='1.0' encoding='UTF-8' standalone='yes'?>
<Relationships xmlns="http://schemas.openxmlformats.org/package/2006/relationships"><Relationship Id="rId25" Type="http://schemas.openxmlformats.org/officeDocument/2006/relationships/hyperlink" Target="http://publication.pravo.gov.ru/document/0001202602100010" TargetMode="External"/><Relationship Id="rId29" Type="http://schemas.openxmlformats.org/officeDocument/2006/relationships/hyperlink" Target="https://mintrud.gov.ru/docs/mintrud/orders/3157" TargetMode="External"/><Relationship Id="rId27" Type="http://schemas.openxmlformats.org/officeDocument/2006/relationships/hyperlink" Target="https://protect.gost.ru/gost/details/083ccfc7-6861-42d0-9861-011a7958fc71" TargetMode="External"/><Relationship Id="rId26" Type="http://schemas.openxmlformats.org/officeDocument/2006/relationships/hyperlink" Target="https://protect.gost.ru/gost/details/2d10ff38-d609-4dcc-899f-c18b77ac0b75" TargetMode="External"/><Relationship Id="rId28" Type="http://schemas.openxmlformats.org/officeDocument/2006/relationships/hyperlink" Target="https://protect.gost.ru/gost/details/cb967146-1714-4f81-9f93-86c2ddd9c9d0" TargetMode="External"/><Relationship Id="rId22" Type="http://schemas.openxmlformats.org/officeDocument/2006/relationships/hyperlink" Target="https://www.w3.org/TR/2014/NOTE-WCAG-EM-20140710/" TargetMode="External"/><Relationship Id="rId18" Type="http://schemas.openxmlformats.org/officeDocument/2006/relationships/hyperlink" Target="https://www.w3.org/TR/WCAG22/" TargetMode="External"/><Relationship Id="rId87" Type="http://schemas.openxmlformats.org/officeDocument/2006/relationships/hyperlink" Target="https://www.w3.org/TR/WCAG22/#accessible-authentication-minimum" TargetMode="External"/><Relationship Id="rId92" Type="http://schemas.openxmlformats.org/officeDocument/2006/relationships/hyperlink" Target="https://www.w3.org/TR/WCAG22/#audio-description-or-media-alternative-prerecorded" TargetMode="External"/><Relationship Id="rId94" Type="http://schemas.openxmlformats.org/officeDocument/2006/relationships/hyperlink" Target="https://www.w3.org/TR/WCAG22/#audio-description-prerecorded" TargetMode="External"/><Relationship Id="rId90" Type="http://schemas.openxmlformats.org/officeDocument/2006/relationships/hyperlink" Target="https://www.w3.org/TR/WCAG22/#audio-only-and-video-only-prerecorded" TargetMode="External"/><Relationship Id="rId93" Type="http://schemas.openxmlformats.org/officeDocument/2006/relationships/hyperlink" Target="https://www.w3.org/TR/WCAG22/#captions-live" TargetMode="External"/><Relationship Id="rId91" Type="http://schemas.openxmlformats.org/officeDocument/2006/relationships/hyperlink" Target="https://www.w3.org/TR/WCAG22/#captions-prerecorded" TargetMode="External"/><Relationship Id="rId95" Type="http://schemas.openxmlformats.org/officeDocument/2006/relationships/hyperlink" Target="https://www.w3.org/TR/WCAG22/#cc2" TargetMode="External"/><Relationship Id="rId38" Type="http://schemas.openxmlformats.org/officeDocument/2006/relationships/hyperlink" Target="https://www.w3.org/TR/WCAG22/#cc3" TargetMode="External"/><Relationship Id="rId47" Type="http://schemas.openxmlformats.org/officeDocument/2006/relationships/hyperlink" Target="https://www.w3.org/TR/WCAG22/#conformance-reqs" TargetMode="External"/><Relationship Id="rId81" Type="http://schemas.openxmlformats.org/officeDocument/2006/relationships/hyperlink" Target="https://www.w3.org/TR/WCAG22/#consistent-help" TargetMode="External"/><Relationship Id="rId80" Type="http://schemas.openxmlformats.org/officeDocument/2006/relationships/hyperlink" Target="https://www.w3.org/TR/WCAG22/#consistent-identification" TargetMode="External"/><Relationship Id="rId79" Type="http://schemas.openxmlformats.org/officeDocument/2006/relationships/hyperlink" Target="https://www.w3.org/TR/WCAG22/#consistent-navigation" TargetMode="External"/><Relationship Id="rId59" Type="http://schemas.openxmlformats.org/officeDocument/2006/relationships/hyperlink" Target="https://www.w3.org/TR/WCAG22/#contrast-minimum" TargetMode="External"/><Relationship Id="rId44" Type="http://schemas.openxmlformats.org/officeDocument/2006/relationships/hyperlink" Target="https://www.w3.org/TR/WCAG22/#dfn-accessibility-supported" TargetMode="External"/><Relationship Id="rId72" Type="http://schemas.openxmlformats.org/officeDocument/2006/relationships/hyperlink" Target="https://www.w3.org/TR/WCAG22/#dragging-movements" TargetMode="External"/><Relationship Id="rId83" Type="http://schemas.openxmlformats.org/officeDocument/2006/relationships/hyperlink" Target="https://www.w3.org/TR/WCAG22/#error-identification" TargetMode="External"/><Relationship Id="rId85" Type="http://schemas.openxmlformats.org/officeDocument/2006/relationships/hyperlink" Target="https://www.w3.org/TR/WCAG22/#error-prevention-legal-financial-data" TargetMode="External"/><Relationship Id="rId84" Type="http://schemas.openxmlformats.org/officeDocument/2006/relationships/hyperlink" Target="https://www.w3.org/TR/WCAG22/#error-suggestion" TargetMode="External"/><Relationship Id="rId71" Type="http://schemas.openxmlformats.org/officeDocument/2006/relationships/hyperlink" Target="https://www.w3.org/TR/WCAG22/#focus-not-obscured-minimum" TargetMode="External"/><Relationship Id="rId68" Type="http://schemas.openxmlformats.org/officeDocument/2006/relationships/hyperlink" Target="https://www.w3.org/TR/WCAG22/#focus-order" TargetMode="External"/><Relationship Id="rId70" Type="http://schemas.openxmlformats.org/officeDocument/2006/relationships/hyperlink" Target="https://www.w3.org/TR/WCAG22/#focus-visible" TargetMode="External"/><Relationship Id="rId55" Type="http://schemas.openxmlformats.org/officeDocument/2006/relationships/hyperlink" Target="https://www.w3.org/TR/WCAG22/#info-and-relationships" TargetMode="External"/><Relationship Id="rId64" Type="http://schemas.openxmlformats.org/officeDocument/2006/relationships/hyperlink" Target="https://www.w3.org/TR/WCAG22/#keyboard" TargetMode="External"/><Relationship Id="rId74" Type="http://schemas.openxmlformats.org/officeDocument/2006/relationships/hyperlink" Target="https://www.w3.org/TR/WCAG22/#label-in-name" TargetMode="External"/><Relationship Id="rId82" Type="http://schemas.openxmlformats.org/officeDocument/2006/relationships/hyperlink" Target="https://www.w3.org/TR/WCAG22/#labels-or-instructions" TargetMode="External"/><Relationship Id="rId75" Type="http://schemas.openxmlformats.org/officeDocument/2006/relationships/hyperlink" Target="https://www.w3.org/TR/WCAG22/#language-of-page" TargetMode="External"/><Relationship Id="rId76" Type="http://schemas.openxmlformats.org/officeDocument/2006/relationships/hyperlink" Target="https://www.w3.org/TR/WCAG22/#language-of-parts" TargetMode="External"/><Relationship Id="rId69" Type="http://schemas.openxmlformats.org/officeDocument/2006/relationships/hyperlink" Target="https://www.w3.org/TR/WCAG22/#link-purpose-in-context" TargetMode="External"/><Relationship Id="rId56" Type="http://schemas.openxmlformats.org/officeDocument/2006/relationships/hyperlink" Target="https://www.w3.org/TR/WCAG22/#meaningful-sequence" TargetMode="External"/><Relationship Id="rId88" Type="http://schemas.openxmlformats.org/officeDocument/2006/relationships/hyperlink" Target="https://www.w3.org/TR/WCAG22/#name-role-value" TargetMode="External"/><Relationship Id="rId65" Type="http://schemas.openxmlformats.org/officeDocument/2006/relationships/hyperlink" Target="https://www.w3.org/TR/WCAG22/#no-keyboard-trap" TargetMode="External"/><Relationship Id="rId54" Type="http://schemas.openxmlformats.org/officeDocument/2006/relationships/hyperlink" Target="https://www.w3.org/TR/WCAG22/#non-text-content" TargetMode="External"/><Relationship Id="rId60" Type="http://schemas.openxmlformats.org/officeDocument/2006/relationships/hyperlink" Target="https://www.w3.org/TR/WCAG22/#non-text-contrast" TargetMode="External"/><Relationship Id="rId77" Type="http://schemas.openxmlformats.org/officeDocument/2006/relationships/hyperlink" Target="https://www.w3.org/TR/WCAG22/#on-focus" TargetMode="External"/><Relationship Id="rId78" Type="http://schemas.openxmlformats.org/officeDocument/2006/relationships/hyperlink" Target="https://www.w3.org/TR/WCAG22/#on-input" TargetMode="External"/><Relationship Id="rId66" Type="http://schemas.openxmlformats.org/officeDocument/2006/relationships/hyperlink" Target="https://www.w3.org/TR/WCAG22/#pause-stop-hide" TargetMode="External"/><Relationship Id="rId86" Type="http://schemas.openxmlformats.org/officeDocument/2006/relationships/hyperlink" Target="https://www.w3.org/TR/WCAG22/#redundant-entry" TargetMode="External"/><Relationship Id="rId62" Type="http://schemas.openxmlformats.org/officeDocument/2006/relationships/hyperlink" Target="https://www.w3.org/TR/WCAG22/#reflow" TargetMode="External"/><Relationship Id="rId61" Type="http://schemas.openxmlformats.org/officeDocument/2006/relationships/hyperlink" Target="https://www.w3.org/TR/WCAG22/#resize-text" TargetMode="External"/><Relationship Id="rId57" Type="http://schemas.openxmlformats.org/officeDocument/2006/relationships/hyperlink" Target="https://www.w3.org/TR/WCAG22/#sensory-characteristics" TargetMode="External"/><Relationship Id="rId89" Type="http://schemas.openxmlformats.org/officeDocument/2006/relationships/hyperlink" Target="https://www.w3.org/TR/WCAG22/#status-messages" TargetMode="External"/><Relationship Id="rId73" Type="http://schemas.openxmlformats.org/officeDocument/2006/relationships/hyperlink" Target="https://www.w3.org/TR/WCAG22/#target-size-minimum" TargetMode="External"/><Relationship Id="rId63" Type="http://schemas.openxmlformats.org/officeDocument/2006/relationships/hyperlink" Target="https://www.w3.org/TR/WCAG22/#text-spacing" TargetMode="External"/><Relationship Id="rId67" Type="http://schemas.openxmlformats.org/officeDocument/2006/relationships/hyperlink" Target="https://www.w3.org/TR/WCAG22/#three-flashes-or-below-threshold" TargetMode="External"/><Relationship Id="rId99" Type="http://schemas.openxmlformats.org/officeDocument/2006/relationships/hyperlink" Target="https://www.w3.org/TR/WCAG22/#timing-adjustable" TargetMode="External"/><Relationship Id="rId58" Type="http://schemas.openxmlformats.org/officeDocument/2006/relationships/hyperlink" Target="https://www.w3.org/TR/WCAG22/#use-of-color" TargetMode="External"/><Relationship Id="rId24" Type="http://schemas.openxmlformats.org/officeDocument/2006/relationships/hyperlink" Target="https://www.w3.org/TR/act-rules-format-1.1/" TargetMode="External"/><Relationship Id="rId23" Type="http://schemas.openxmlformats.org/officeDocument/2006/relationships/hyperlink" Target="https://www.w3.org/TR/coga-usable/" TargetMode="External"/><Relationship Id="rId96" Type="http://schemas.openxmlformats.org/officeDocument/2006/relationships/hyperlink" Target="https://www.w3.org/TR/coga-usable/#design-guide" TargetMode="External"/><Relationship Id="rId97" Type="http://schemas.openxmlformats.org/officeDocument/2006/relationships/hyperlink" Target="https://www.w3.org/TR/coga-usable/#objective-4-help-users-avoid-mistakes-and-know-how-to-correct-them" TargetMode="External"/><Relationship Id="rId98" Type="http://schemas.openxmlformats.org/officeDocument/2006/relationships/hyperlink" Target="https://www.w3.org/TR/coga-usable/#summary" TargetMode="External"/><Relationship Id="rId21" Type="http://schemas.openxmlformats.org/officeDocument/2006/relationships/hyperlink" Target="https://www.w3.org/TR/wcag-em-2/" TargetMode="External"/><Relationship Id="rId41" Type="http://schemas.openxmlformats.org/officeDocument/2006/relationships/hyperlink" Target="https://www.w3.org/TR/wcag-em-2/#relation-to-wcag-2-conformance-claims" TargetMode="External"/><Relationship Id="rId33" Type="http://schemas.openxmlformats.org/officeDocument/2006/relationships/hyperlink" Target="https://www.w3.org/TR/wcag-em-2/#step2" TargetMode="External"/><Relationship Id="rId36" Type="http://schemas.openxmlformats.org/officeDocument/2006/relationships/hyperlink" Target="https://www.w3.org/TR/wcag-em-2/#step3b" TargetMode="External"/><Relationship Id="rId39" Type="http://schemas.openxmlformats.org/officeDocument/2006/relationships/hyperlink" Target="https://www.w3.org/TR/wcag-em-2/#step3c" TargetMode="External"/><Relationship Id="rId48" Type="http://schemas.openxmlformats.org/officeDocument/2006/relationships/hyperlink" Target="https://www.w3.org/TR/wcag-em-2/#step4" TargetMode="External"/><Relationship Id="rId19" Type="http://schemas.openxmlformats.org/officeDocument/2006/relationships/hyperlink" Target="https://www.w3.org/TR/wcag-em-2/#step5d" TargetMode="External"/><Relationship Id="rId113" Type="http://schemas.openxmlformats.org/officeDocument/2006/relationships/hyperlink" Target="https://www.w3.org/WAI/ARIA/apg/" TargetMode="External"/><Relationship Id="rId50" Type="http://schemas.openxmlformats.org/officeDocument/2006/relationships/hyperlink" Target="https://www.w3.org/WAI/test-evaluate/involving-users/" TargetMode="External"/><Relationship Id="rId114" Type="http://schemas.openxmlformats.org/officeDocument/2006/relationships/hyperlink" Target="https://www.w3.org/WAI/tutorials/" TargetMode="External"/><Relationship Id="rId100" Type="http://schemas.openxmlformats.org/officeDocument/2006/relationships/hyperlink" Target="&#1055;&#1088;&#1086;&#1090;&#1086;&#1082;&#1086;&#1083;_&#1087;&#1086;&#1085;&#1103;&#1090;&#1085;&#1086;&#1089;&#1090;&#1080;_&#1080;_&#1082;&#1086;&#1075;&#1085;&#1080;&#1090;&#1080;&#1074;&#1085;&#1086;&#1081;_&#1076;&#1086;&#1089;&#1090;&#1091;&#1087;&#1085;&#1086;&#1089;&#1090;&#1080;.docx" TargetMode="External"/><Relationship Id="rId53" Type="http://schemas.openxmlformats.org/officeDocument/2006/relationships/hyperlink" Target="&#1055;&#1088;&#1086;&#1090;&#1086;&#1082;&#1086;&#1083;&#1099;_&#1087;&#1088;&#1086;&#1074;&#1077;&#1088;&#1086;&#1082;_WCAG_2_2_A_AA.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Методология оценки доступности сайтов</dc:title>
  <dc:creator/>
  <dc:language>ru-RU</dc:language>
  <cp:keywords/>
  <dcterms:created xsi:type="dcterms:W3CDTF">2026-09-13T17:49:57Z</dcterms:created>
  <dcterms:modified xsi:type="dcterms:W3CDTF">2026-09-13T17:49:57Z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Сентябрь 2026 года</vt:lpwstr>
  </property>
  <property fmtid="{D5CDD505-2E9C-101B-9397-08002B2CF9AE}" pid="3" name="subtitle">
    <vt:lpwstr>Проект для обсуждения. Редакция 0.2</vt:lpwstr>
  </property>
</Properties>
</file>