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Протоколы проверок терминалов самообслуживания и киосков</w:t>
      </w:r>
    </w:p>
    <w:p>
      <w:pPr>
        <w:pStyle w:val="Subtitle"/>
      </w:pPr>
      <w:r>
        <w:t xml:space="preserve">Проект для обсуждения. Редакция 0.1</w:t>
      </w:r>
    </w:p>
    <w:p>
      <w:pPr>
        <w:pStyle w:val="Date"/>
      </w:pPr>
      <w:r>
        <w:t xml:space="preserve">Сентябрь 2026 года</w:t>
      </w:r>
    </w:p>
    <w:sdt>
      <w:sdtPr>
        <w:docPartObj>
          <w:docPartGallery w:val="Table of Contents"/>
          <w:docPartUnique/>
        </w:docPartObj>
      </w:sdtPr>
      <w:sdtContent>
        <w:p>
          <w:pPr>
            <w:pStyle w:val="TOCHeading"/>
          </w:pPr>
          <w:r>
            <w:t xml:space="preserve">Оглавление</w:t>
          </w:r>
        </w:p>
        <w:p>
          <w:r>
            <w:fldChar w:fldCharType="begin"/>
          </w:r>
          <w:r>
            <w:instrText xml:space="preserve">TOC \o "1-3" \h \z \u</w:instrText>
          </w:r>
          <w:r>
            <w:fldChar w:fldCharType="separate"/>
          </w:r>
        </w:p>
        <w:p>
          <w:pPr>
            <w:pStyle w:val="TOC2"/>
            <w:tabs>
              <w:tab w:val="right" w:leader="dot" w:pos="9638"/>
            </w:tabs>
          </w:pPr>
          <w:hyperlink w:anchor="_TocAnchor4_2075" w:history="1">
            <w:r>
              <w:t xml:space="preserve">Назначение и применение</w:t>
            </w:r>
          </w:hyperlink>
          <w:r>
            <w:tab/>
            <w:t>1</w:t>
          </w:r>
        </w:p>
        <w:p>
          <w:pPr>
            <w:pStyle w:val="TOC2"/>
            <w:tabs>
              <w:tab w:val="right" w:leader="dot" w:pos="9638"/>
            </w:tabs>
          </w:pPr>
          <w:hyperlink w:anchor="_TocAnchor13_2077" w:history="1">
            <w:r>
              <w:t xml:space="preserve">Протоколы</w:t>
            </w:r>
          </w:hyperlink>
          <w:r>
            <w:tab/>
            <w:t>2</w:t>
          </w:r>
        </w:p>
        <w:p>
          <w:pPr>
            <w:pStyle w:val="TOC3"/>
            <w:tabs>
              <w:tab w:val="right" w:leader="dot" w:pos="9638"/>
            </w:tabs>
          </w:pPr>
          <w:hyperlink w:anchor="_TocAnchor14_2079" w:history="1">
            <w:r>
              <w:t xml:space="preserve">Е-01. Закрытая функциональность и запуск режима доступности</w:t>
            </w:r>
          </w:hyperlink>
          <w:r>
            <w:tab/>
            <w:t>2</w:t>
          </w:r>
        </w:p>
        <w:p>
          <w:pPr>
            <w:pStyle w:val="TOC3"/>
            <w:tabs>
              <w:tab w:val="right" w:leader="dot" w:pos="9638"/>
            </w:tabs>
          </w:pPr>
          <w:hyperlink w:anchor="_TocAnchor23_2081" w:history="1">
            <w:r>
              <w:t xml:space="preserve">Е-02. Полнота речевого вывода</w:t>
            </w:r>
          </w:hyperlink>
          <w:r>
            <w:tab/>
            <w:t>3</w:t>
          </w:r>
        </w:p>
        <w:p>
          <w:pPr>
            <w:pStyle w:val="TOC3"/>
            <w:tabs>
              <w:tab w:val="right" w:leader="dot" w:pos="9638"/>
            </w:tabs>
          </w:pPr>
          <w:hyperlink w:anchor="_TocAnchor32_2083" w:history="1">
            <w:r>
              <w:t xml:space="preserve">Е-03. Управление речью, язык и отсутствие наложения</w:t>
            </w:r>
          </w:hyperlink>
          <w:r>
            <w:tab/>
            <w:t>3</w:t>
          </w:r>
        </w:p>
        <w:p>
          <w:pPr>
            <w:pStyle w:val="TOC3"/>
            <w:tabs>
              <w:tab w:val="right" w:leader="dot" w:pos="9638"/>
            </w:tabs>
          </w:pPr>
          <w:hyperlink w:anchor="_TocAnchor41_2085" w:history="1">
            <w:r>
              <w:t xml:space="preserve">Е-04. Доставка речевого вывода и приватность</w:t>
            </w:r>
          </w:hyperlink>
          <w:r>
            <w:tab/>
            <w:t>4</w:t>
          </w:r>
        </w:p>
        <w:p>
          <w:pPr>
            <w:pStyle w:val="TOC3"/>
            <w:tabs>
              <w:tab w:val="right" w:leader="dot" w:pos="9638"/>
            </w:tabs>
          </w:pPr>
          <w:hyperlink w:anchor="_TocAnchor50_2087" w:history="1">
            <w:r>
              <w:t xml:space="preserve">Е-05. Громкость и сброс уровня</w:t>
            </w:r>
          </w:hyperlink>
          <w:r>
            <w:tab/>
            <w:t>5</w:t>
          </w:r>
        </w:p>
        <w:p>
          <w:pPr>
            <w:pStyle w:val="TOC3"/>
            <w:tabs>
              <w:tab w:val="right" w:leader="dot" w:pos="9638"/>
            </w:tabs>
          </w:pPr>
          <w:hyperlink w:anchor="_TocAnchor59_2089" w:history="1">
            <w:r>
              <w:t xml:space="preserve">Е-06. Визуальный эквивалент звука</w:t>
            </w:r>
          </w:hyperlink>
          <w:r>
            <w:tab/>
            <w:t>5</w:t>
          </w:r>
        </w:p>
        <w:p>
          <w:pPr>
            <w:pStyle w:val="TOC3"/>
            <w:tabs>
              <w:tab w:val="right" w:leader="dot" w:pos="9638"/>
            </w:tabs>
          </w:pPr>
          <w:hyperlink w:anchor="_TocAnchor68_2091" w:history="1">
            <w:r>
              <w:t xml:space="preserve">Е-07. Тактильная различимость, состояния клавиш и ориентация носителя</w:t>
            </w:r>
          </w:hyperlink>
          <w:r>
            <w:tab/>
            <w:t>6</w:t>
          </w:r>
        </w:p>
        <w:p>
          <w:pPr>
            <w:pStyle w:val="TOC3"/>
            <w:tabs>
              <w:tab w:val="right" w:leader="dot" w:pos="9638"/>
            </w:tabs>
          </w:pPr>
          <w:hyperlink w:anchor="_TocAnchor77_2093" w:history="1">
            <w:r>
              <w:t xml:space="preserve">Е-08. Повтор клавиш и неодновременные действия</w:t>
            </w:r>
          </w:hyperlink>
          <w:r>
            <w:tab/>
            <w:t>6</w:t>
          </w:r>
        </w:p>
        <w:p>
          <w:pPr>
            <w:pStyle w:val="TOC3"/>
            <w:tabs>
              <w:tab w:val="right" w:leader="dot" w:pos="9638"/>
            </w:tabs>
          </w:pPr>
          <w:hyperlink w:anchor="_TocAnchor86_2095" w:history="1">
            <w:r>
              <w:t xml:space="preserve">Е-09. Управление без точного захвата, поворота и высокой силы</w:t>
            </w:r>
          </w:hyperlink>
          <w:r>
            <w:tab/>
            <w:t>7</w:t>
          </w:r>
        </w:p>
        <w:p>
          <w:pPr>
            <w:pStyle w:val="TOC3"/>
            <w:tabs>
              <w:tab w:val="right" w:leader="dot" w:pos="9638"/>
            </w:tabs>
          </w:pPr>
          <w:hyperlink w:anchor="_TocAnchor95_2097" w:history="1">
            <w:r>
              <w:t xml:space="preserve">Е-10. Текст, контраст и цвет</w:t>
            </w:r>
          </w:hyperlink>
          <w:r>
            <w:tab/>
            <w:t>7</w:t>
          </w:r>
        </w:p>
        <w:p>
          <w:pPr>
            <w:pStyle w:val="TOC3"/>
            <w:tabs>
              <w:tab w:val="right" w:leader="dot" w:pos="9638"/>
            </w:tabs>
          </w:pPr>
          <w:hyperlink w:anchor="_TocAnchor104_2099" w:history="1">
            <w:r>
              <w:t xml:space="preserve">Е-11. Клавиатурное управление, фокус и закрытый интерфейс</w:t>
            </w:r>
          </w:hyperlink>
          <w:r>
            <w:tab/>
            <w:t>8</w:t>
          </w:r>
        </w:p>
        <w:p>
          <w:pPr>
            <w:pStyle w:val="TOC3"/>
            <w:tabs>
              <w:tab w:val="right" w:leader="dot" w:pos="9638"/>
            </w:tabs>
          </w:pPr>
          <w:hyperlink w:anchor="_TocAnchor113_2101" w:history="1">
            <w:r>
              <w:t xml:space="preserve">Е-12. Жесты, отмена, движение и размер цели</w:t>
            </w:r>
          </w:hyperlink>
          <w:r>
            <w:tab/>
            <w:t>8</w:t>
          </w:r>
        </w:p>
        <w:p>
          <w:pPr>
            <w:pStyle w:val="TOC3"/>
            <w:tabs>
              <w:tab w:val="right" w:leader="dot" w:pos="9638"/>
            </w:tabs>
          </w:pPr>
          <w:hyperlink w:anchor="_TocAnchor122_2103" w:history="1">
            <w:r>
              <w:t xml:space="preserve">Е-13. Ограничения времени, движение и вспышки</w:t>
            </w:r>
          </w:hyperlink>
          <w:r>
            <w:tab/>
            <w:t>9</w:t>
          </w:r>
        </w:p>
        <w:p>
          <w:pPr>
            <w:pStyle w:val="TOC3"/>
            <w:tabs>
              <w:tab w:val="right" w:leader="dot" w:pos="9638"/>
            </w:tabs>
          </w:pPr>
          <w:hyperlink w:anchor="_TocAnchor131_2105" w:history="1">
            <w:r>
              <w:t xml:space="preserve">Е-14. Биометрия, речевой ввод и доступная аутентификация</w:t>
            </w:r>
          </w:hyperlink>
          <w:r>
            <w:tab/>
            <w:t>9</w:t>
          </w:r>
        </w:p>
        <w:p>
          <w:pPr>
            <w:pStyle w:val="TOC3"/>
            <w:tabs>
              <w:tab w:val="right" w:leader="dot" w:pos="9638"/>
            </w:tabs>
          </w:pPr>
          <w:hyperlink w:anchor="_TocAnchor140_2107" w:history="1">
            <w:r>
              <w:t xml:space="preserve">Е-15. Подписи, назначение ввода, ошибки, повторный ввод и подтверждение</w:t>
            </w:r>
          </w:hyperlink>
          <w:r>
            <w:tab/>
            <w:t>10</w:t>
          </w:r>
        </w:p>
        <w:p>
          <w:pPr>
            <w:pStyle w:val="TOC3"/>
            <w:tabs>
              <w:tab w:val="right" w:leader="dot" w:pos="9638"/>
            </w:tabs>
          </w:pPr>
          <w:hyperlink w:anchor="_TocAnchor149_2109" w:history="1">
            <w:r>
              <w:t xml:space="preserve">Е-16. Высота экрана, информации и органов управления</w:t>
            </w:r>
          </w:hyperlink>
          <w:r>
            <w:tab/>
            <w:t>11</w:t>
          </w:r>
        </w:p>
        <w:p>
          <w:pPr>
            <w:pStyle w:val="TOC3"/>
            <w:tabs>
              <w:tab w:val="right" w:leader="dot" w:pos="9638"/>
            </w:tabs>
          </w:pPr>
          <w:hyperlink w:anchor="_TocAnchor158_2111" w:history="1">
            <w:r>
              <w:t xml:space="preserve">Е-17. Глубина досягаемости и свободное пространство</w:t>
            </w:r>
          </w:hyperlink>
          <w:r>
            <w:tab/>
            <w:t>11</w:t>
          </w:r>
        </w:p>
        <w:p>
          <w:pPr>
            <w:pStyle w:val="TOC3"/>
            <w:tabs>
              <w:tab w:val="right" w:leader="dot" w:pos="9638"/>
            </w:tabs>
          </w:pPr>
          <w:hyperlink w:anchor="_TocAnchor167_2113" w:history="1">
            <w:r>
              <w:t xml:space="preserve">Е-18. Носители, чек и подтверждение результата</w:t>
            </w:r>
          </w:hyperlink>
          <w:r>
            <w:tab/>
            <w:t>12</w:t>
          </w:r>
        </w:p>
        <w:p>
          <w:pPr>
            <w:pStyle w:val="TOC3"/>
            <w:tabs>
              <w:tab w:val="right" w:leader="dot" w:pos="9638"/>
            </w:tabs>
          </w:pPr>
          <w:hyperlink w:anchor="_TocAnchor176_2115" w:history="1">
            <w:r>
              <w:t xml:space="preserve">Е-19. Статус операции и многоканальное уведомление</w:t>
            </w:r>
          </w:hyperlink>
          <w:r>
            <w:tab/>
            <w:t>13</w:t>
          </w:r>
        </w:p>
        <w:p>
          <w:pPr>
            <w:pStyle w:val="TOC3"/>
            <w:tabs>
              <w:tab w:val="right" w:leader="dot" w:pos="9638"/>
            </w:tabs>
          </w:pPr>
          <w:hyperlink w:anchor="_TocAnchor185_2117" w:history="1">
            <w:r>
              <w:t xml:space="preserve">Е-20. Помощь, связь с оператором и сведения о функциях доступности</w:t>
            </w:r>
          </w:hyperlink>
          <w:r>
            <w:tab/>
            <w:t>13</w:t>
          </w:r>
        </w:p>
        <w:p>
          <w:pPr>
            <w:pStyle w:val="TOC3"/>
            <w:tabs>
              <w:tab w:val="right" w:leader="dot" w:pos="9638"/>
            </w:tabs>
          </w:pPr>
          <w:hyperlink w:anchor="_TocAnchor194_2119" w:history="1">
            <w:r>
              <w:t xml:space="preserve">Е-21. Телефонная трубка и стандартные соединения</w:t>
            </w:r>
          </w:hyperlink>
          <w:r>
            <w:tab/>
            <w:t>14</w:t>
          </w:r>
        </w:p>
        <w:p>
          <w:pPr>
            <w:pStyle w:val="TOC3"/>
            <w:tabs>
              <w:tab w:val="right" w:leader="dot" w:pos="9638"/>
            </w:tabs>
          </w:pPr>
          <w:hyperlink w:anchor="_TocAnchor203_2121" w:history="1">
            <w:r>
              <w:t xml:space="preserve">Е-22. Программная доступность открытой части интерфейса</w:t>
            </w:r>
          </w:hyperlink>
          <w:r>
            <w:tab/>
            <w:t>15</w:t>
          </w:r>
        </w:p>
        <w:p>
          <w:r>
            <w:fldChar w:fldCharType="end"/>
          </w:r>
        </w:p>
      </w:sdtContent>
    </w:sdt>
    <w:p>
      <w:pPr>
        <w:pStyle w:val="FirstParagraph"/>
      </w:pPr>
      <w:r>
        <w:rPr>
          <w:b/>
          <w:bCs/>
        </w:rPr>
        <w:t xml:space="preserve">Версия:</w:t>
      </w:r>
      <w:r>
        <w:t xml:space="preserve"> </w:t>
      </w:r>
      <w:r>
        <w:t xml:space="preserve">0.1</w:t>
      </w:r>
      <w:r>
        <w:br/>
      </w:r>
      <w:r>
        <w:rPr>
          <w:b/>
          <w:bCs/>
        </w:rPr>
        <w:t xml:space="preserve">Дата:</w:t>
      </w:r>
      <w:r>
        <w:t xml:space="preserve"> </w:t>
      </w:r>
      <w:r>
        <w:t xml:space="preserve">24 сентября 2026 года</w:t>
      </w:r>
      <w:r>
        <w:br/>
      </w:r>
      <w:r>
        <w:rPr>
          <w:b/>
          <w:bCs/>
        </w:rPr>
        <w:t xml:space="preserve">Статус:</w:t>
      </w:r>
      <w:r>
        <w:t xml:space="preserve"> </w:t>
      </w:r>
      <w:r>
        <w:t xml:space="preserve">протокол издан для апробации; апробация на физическом терминале не завершена.</w:t>
      </w:r>
    </w:p>
    <w:bookmarkStart w:id="18" w:name="назначение-и-применение"/>
    <w:p>
      <w:pPr>
        <w:pStyle w:val="Heading2"/>
      </w:pPr>
      <w:bookmarkStart w:id="2076" w:name="_TocAnchor4_2075"/>
      <w:r>
        <w:t xml:space="preserve">Назначение и применение</w:t>
      </w:r>
      <w:bookmarkEnd w:id="2076"/>
    </w:p>
    <w:p>
      <w:pPr>
        <w:pStyle w:val="FirstParagraph"/>
      </w:pPr>
      <w:r>
        <w:t xml:space="preserve">Протокол применяется к терминалу с закрытой функциональностью, установленному в общественном месте: сенсорному экрану, физическим клавишам, считывателям карт и документов, принтеру чеков, звуковому выводу и доступному пользователю пространству перед устройством. Объект, единица оценки, единица выборки, правила инвентаризации и выборки определены в разделе Е методологии.</w:t>
      </w:r>
    </w:p>
    <w:p>
      <w:pPr>
        <w:pStyle w:val="BodyText"/>
      </w:pPr>
      <w:r>
        <w:t xml:space="preserve">Проверка выполняется на действующем или демонстрационном терминале по согласованному с владельцем сценарию, без реальных платежей и персональных данных. Для интерфейса на экране применяются названные в карточках протоколы разделов В и Г с терминальной спецификой: фиксированным оборудованием, закрытой функциональностью, физическим положением экрана и органов управления, отсутствием установки пользователем вспомогательных программ и возможной публичностью речевого вывода. Ссылка на В или Г не освобождает от выполнения карточки Е и фиксации этой специфики.</w:t>
      </w:r>
    </w:p>
    <w:p>
      <w:pPr>
        <w:pStyle w:val="BodyText"/>
      </w:pPr>
      <w:r>
        <w:t xml:space="preserve">Каждая карточка дает один итоговый статус для одной единицы выборки. Если карточка содержит несколько нормативных условий, сначала записывают подрезультат каждого условия, затем применяют единственное правило агрегации:</w:t>
      </w:r>
    </w:p>
    <w:p>
      <w:pPr>
        <w:pStyle w:val="Compact"/>
        <w:numPr>
          <w:ilvl w:val="0"/>
          <w:numId w:val="1001"/>
        </w:numPr>
      </w:pPr>
      <w:r>
        <w:t xml:space="preserve">хотя бы одно нарушение дает итог «нарушение»;</w:t>
      </w:r>
    </w:p>
    <w:p>
      <w:pPr>
        <w:pStyle w:val="Compact"/>
        <w:numPr>
          <w:ilvl w:val="0"/>
          <w:numId w:val="1001"/>
        </w:numPr>
      </w:pPr>
      <w:r>
        <w:t xml:space="preserve">при отсутствии нарушения хотя бы одно существенное непроверенное условие дает итог «не проверено»;</w:t>
      </w:r>
    </w:p>
    <w:p>
      <w:pPr>
        <w:pStyle w:val="Compact"/>
        <w:numPr>
          <w:ilvl w:val="0"/>
          <w:numId w:val="1001"/>
        </w:numPr>
      </w:pPr>
      <w:r>
        <w:t xml:space="preserve">если хотя бы одно применимое условие пройдено, а остальные пройдены или имеют обоснованный NA, итог «прохождение»;</w:t>
      </w:r>
    </w:p>
    <w:p>
      <w:pPr>
        <w:pStyle w:val="Compact"/>
        <w:numPr>
          <w:ilvl w:val="0"/>
          <w:numId w:val="1001"/>
        </w:numPr>
      </w:pPr>
      <w:r>
        <w:t xml:space="preserve">итог NA допустим только тогда, когда все условия имеют подтвержденный NA.</w:t>
      </w:r>
    </w:p>
    <w:p>
      <w:pPr>
        <w:pStyle w:val="FirstParagraph"/>
      </w:pPr>
      <w:r>
        <w:t xml:space="preserve">Частичное покрытие нельзя записывать как прохождение. Для каждого результата сохраняются идентификаторы терминала, версии интерфейса и замороженного реестра, операция и состояние, конфигурация, фактические шаги, измерения, дата, оценщик и ссылка на доказательство. Поле «Нормативная ссылка» содержит только проверенные нормативные пункты. Информативные положения, рекомендации и правила методологии указаны в поле «Граница проекта».</w:t>
      </w:r>
    </w:p>
    <w:bookmarkEnd w:id="18"/>
    <w:bookmarkStart w:id="47" w:name="протоколы"/>
    <w:p>
      <w:pPr>
        <w:pStyle w:val="Heading2"/>
      </w:pPr>
      <w:bookmarkStart w:id="2078" w:name="_TocAnchor13_2077"/>
      <w:r>
        <w:t xml:space="preserve">Протоколы</w:t>
      </w:r>
      <w:bookmarkEnd w:id="2078"/>
    </w:p>
    <w:bookmarkStart w:id="20" w:name="Xa0a66a85a4e00a17f4829511aa0b56e574cf6c0"/>
    <w:p>
      <w:pPr>
        <w:pStyle w:val="Heading3"/>
      </w:pPr>
      <w:bookmarkStart w:id="2080" w:name="_TocAnchor14_2079"/>
      <w:r>
        <w:t xml:space="preserve">Е-01. Закрытая функциональность и запуск режима доступности</w:t>
      </w:r>
      <w:bookmarkEnd w:id="2080"/>
    </w:p>
    <w:p>
      <w:pPr>
        <w:pStyle w:val="Compact"/>
        <w:numPr>
          <w:ilvl w:val="0"/>
          <w:numId w:val="1002"/>
        </w:numPr>
      </w:pPr>
      <w:r>
        <w:rPr>
          <w:b/>
          <w:bCs/>
        </w:rPr>
        <w:t xml:space="preserve">Применимость:</w:t>
      </w:r>
      <w:r>
        <w:t xml:space="preserve"> </w:t>
      </w:r>
      <w:r>
        <w:t xml:space="preserve">функции терминала, к которым пользователь не может подключить или установить вспомогательную технологию.</w:t>
      </w:r>
    </w:p>
    <w:p>
      <w:pPr>
        <w:pStyle w:val="Compact"/>
        <w:numPr>
          <w:ilvl w:val="0"/>
          <w:numId w:val="1002"/>
        </w:numPr>
      </w:pPr>
      <w:r>
        <w:rPr>
          <w:b/>
          <w:bCs/>
        </w:rPr>
        <w:t xml:space="preserve">Предусловия:</w:t>
      </w:r>
      <w:r>
        <w:t xml:space="preserve"> </w:t>
      </w:r>
      <w:r>
        <w:t xml:space="preserve">терминал в исходном состоянии, перечень операций и документированный способ запуска функций доступности.</w:t>
      </w:r>
    </w:p>
    <w:p>
      <w:pPr>
        <w:pStyle w:val="Compact"/>
        <w:numPr>
          <w:ilvl w:val="0"/>
          <w:numId w:val="1002"/>
        </w:numPr>
      </w:pPr>
      <w:r>
        <w:rPr>
          <w:b/>
          <w:bCs/>
        </w:rPr>
        <w:t xml:space="preserve">Шаги и параметры:</w:t>
      </w:r>
      <w:r>
        <w:t xml:space="preserve"> </w:t>
      </w:r>
      <w:r>
        <w:t xml:space="preserve">для каждой операции определить закрытые и открытые части; начать работу без зрения; включить каждую функцию доступности способом, не требующим уже недоступного восприятия или действия; не подключать ничего, кроме личных наушников или индукционной связи.</w:t>
      </w:r>
    </w:p>
    <w:p>
      <w:pPr>
        <w:pStyle w:val="Compact"/>
        <w:numPr>
          <w:ilvl w:val="0"/>
          <w:numId w:val="1002"/>
        </w:numPr>
      </w:pPr>
      <w:r>
        <w:rPr>
          <w:b/>
          <w:bCs/>
        </w:rPr>
        <w:t xml:space="preserve">Прохождение/нарушение:</w:t>
      </w:r>
      <w:r>
        <w:t xml:space="preserve"> </w:t>
      </w:r>
      <w:r>
        <w:t xml:space="preserve">проходит, если закрытая функция выполняет применимые требования 5.1 без установки или подключения вспомогательной технологии, а функции доступности можно включить доступным способом; нарушение при зависимости от недоступного визуального шага, внешней программы или устройства, не относящегося к личному прослушиванию.</w:t>
      </w:r>
    </w:p>
    <w:p>
      <w:pPr>
        <w:pStyle w:val="Compact"/>
        <w:numPr>
          <w:ilvl w:val="0"/>
          <w:numId w:val="1002"/>
        </w:numPr>
      </w:pPr>
      <w:r>
        <w:rPr>
          <w:b/>
          <w:bCs/>
        </w:rPr>
        <w:t xml:space="preserve">NA/не проверено:</w:t>
      </w:r>
      <w:r>
        <w:t xml:space="preserve"> </w:t>
      </w:r>
      <w:r>
        <w:t xml:space="preserve">NA для части, которая не является закрытой; не проверено, если граница функции или способ активации не установлены.</w:t>
      </w:r>
    </w:p>
    <w:p>
      <w:pPr>
        <w:pStyle w:val="Compact"/>
        <w:numPr>
          <w:ilvl w:val="0"/>
          <w:numId w:val="1002"/>
        </w:numPr>
      </w:pPr>
      <w:r>
        <w:rPr>
          <w:b/>
          <w:bCs/>
        </w:rPr>
        <w:t xml:space="preserve">Минимальное доказательство:</w:t>
      </w:r>
      <w:r>
        <w:t xml:space="preserve"> </w:t>
      </w:r>
      <w:r>
        <w:t xml:space="preserve">схема частей операции, запись запуска режима и результат без зрения.</w:t>
      </w:r>
    </w:p>
    <w:p>
      <w:pPr>
        <w:pStyle w:val="Compact"/>
        <w:numPr>
          <w:ilvl w:val="0"/>
          <w:numId w:val="1002"/>
        </w:numPr>
      </w:pPr>
      <w:r>
        <w:rPr>
          <w:b/>
          <w:bCs/>
        </w:rPr>
        <w:t xml:space="preserve">Нормативная ссылка:</w:t>
      </w:r>
      <w:r>
        <w:t xml:space="preserve"> </w:t>
      </w:r>
      <w:hyperlink r:id="rId19">
        <w:r>
          <w:rPr>
            <w:rStyle w:val="Hyperlink"/>
          </w:rPr>
          <w:t xml:space="preserve">EN 301 549 V4.1.1, 5.1.2.1, 5.1.2.2 и 5.2</w:t>
        </w:r>
      </w:hyperlink>
      <w:r>
        <w:t xml:space="preserve">.</w:t>
      </w:r>
    </w:p>
    <w:p>
      <w:pPr>
        <w:pStyle w:val="Compact"/>
        <w:numPr>
          <w:ilvl w:val="0"/>
          <w:numId w:val="1002"/>
        </w:numPr>
      </w:pPr>
      <w:r>
        <w:rPr>
          <w:b/>
          <w:bCs/>
        </w:rPr>
        <w:t xml:space="preserve">Граница проекта:</w:t>
      </w:r>
      <w:r>
        <w:t xml:space="preserve"> </w:t>
      </w:r>
      <w:r>
        <w:t xml:space="preserve">классификация частей по операциям является процедурой проекта; она не заменяет определение закрытой функциональности из стандарта.</w:t>
      </w:r>
    </w:p>
    <w:bookmarkEnd w:id="20"/>
    <w:bookmarkStart w:id="21" w:name="е-02.-полнота-речевого-вывода"/>
    <w:p>
      <w:pPr>
        <w:pStyle w:val="Heading3"/>
      </w:pPr>
      <w:bookmarkStart w:id="2082" w:name="_TocAnchor23_2081"/>
      <w:r>
        <w:t xml:space="preserve">Е-02. Полнота речевого вывода</w:t>
      </w:r>
      <w:bookmarkEnd w:id="2082"/>
    </w:p>
    <w:p>
      <w:pPr>
        <w:pStyle w:val="Compact"/>
        <w:numPr>
          <w:ilvl w:val="0"/>
          <w:numId w:val="1003"/>
        </w:numPr>
      </w:pPr>
      <w:r>
        <w:rPr>
          <w:b/>
          <w:bCs/>
        </w:rPr>
        <w:t xml:space="preserve">Применимость:</w:t>
      </w:r>
      <w:r>
        <w:t xml:space="preserve"> </w:t>
      </w:r>
      <w:r>
        <w:t xml:space="preserve">визуальная информация и экранные действия, необходимые для закрытой операции.</w:t>
      </w:r>
    </w:p>
    <w:p>
      <w:pPr>
        <w:pStyle w:val="Compact"/>
        <w:numPr>
          <w:ilvl w:val="0"/>
          <w:numId w:val="1003"/>
        </w:numPr>
      </w:pPr>
      <w:r>
        <w:rPr>
          <w:b/>
          <w:bCs/>
        </w:rPr>
        <w:t xml:space="preserve">Предусловия:</w:t>
      </w:r>
      <w:r>
        <w:t xml:space="preserve"> </w:t>
      </w:r>
      <w:r>
        <w:t xml:space="preserve">включен речевой режим, подготовлены обычное, ошибочное и итоговое состояния; при наличии медиа применим протокол В-21.</w:t>
      </w:r>
    </w:p>
    <w:p>
      <w:pPr>
        <w:pStyle w:val="Compact"/>
        <w:numPr>
          <w:ilvl w:val="0"/>
          <w:numId w:val="1003"/>
        </w:numPr>
      </w:pPr>
      <w:r>
        <w:rPr>
          <w:b/>
          <w:bCs/>
        </w:rPr>
        <w:t xml:space="preserve">Шаги и параметры:</w:t>
      </w:r>
      <w:r>
        <w:t xml:space="preserve"> </w:t>
      </w:r>
      <w:r>
        <w:t xml:space="preserve">пройти операцию без зрения; сопоставить речь со всеми недекоративными текстами, состояниями, подсказками, вариантами выбора, ошибками и итогом; проверить звуковой эквивалент значимой нетекстовой информации. Для открытой части с записанным или прямым аудио и видео выполнить применимые подрезультаты В-21, включая каждую требуемую альтернативу и ее синхронизацию.</w:t>
      </w:r>
    </w:p>
    <w:p>
      <w:pPr>
        <w:pStyle w:val="Compact"/>
        <w:numPr>
          <w:ilvl w:val="0"/>
          <w:numId w:val="1003"/>
        </w:numPr>
      </w:pPr>
      <w:r>
        <w:rPr>
          <w:b/>
          <w:bCs/>
        </w:rPr>
        <w:t xml:space="preserve">Прохождение/нарушение:</w:t>
      </w:r>
      <w:r>
        <w:t xml:space="preserve"> </w:t>
      </w:r>
      <w:r>
        <w:t xml:space="preserve">проходит, если речь передает всю недекоративную информацию текущего экрана, значимые нетекстовые сведения, необходимые видеосведения и ошибки, а все применимые подрезультаты В-21 пройдены; нарушение при пропуске необходимого элемента, состояния, способа исправления, требуемой медиаальтернативы или ее синхронизации.</w:t>
      </w:r>
    </w:p>
    <w:p>
      <w:pPr>
        <w:pStyle w:val="Compact"/>
        <w:numPr>
          <w:ilvl w:val="0"/>
          <w:numId w:val="1003"/>
        </w:numPr>
      </w:pPr>
      <w:r>
        <w:rPr>
          <w:b/>
          <w:bCs/>
        </w:rPr>
        <w:t xml:space="preserve">NA/не проверено:</w:t>
      </w:r>
      <w:r>
        <w:t xml:space="preserve"> </w:t>
      </w:r>
      <w:r>
        <w:t xml:space="preserve">NA для операции без визуальной информации; отдельные условия имеют NA при отсутствии нетекстовой информации или видео; не проверено, если нужное состояние нельзя безопасно вызвать.</w:t>
      </w:r>
    </w:p>
    <w:p>
      <w:pPr>
        <w:pStyle w:val="Compact"/>
        <w:numPr>
          <w:ilvl w:val="0"/>
          <w:numId w:val="1003"/>
        </w:numPr>
      </w:pPr>
      <w:r>
        <w:rPr>
          <w:b/>
          <w:bCs/>
        </w:rPr>
        <w:t xml:space="preserve">Минимальное доказательство:</w:t>
      </w:r>
      <w:r>
        <w:t xml:space="preserve"> </w:t>
      </w:r>
      <w:r>
        <w:t xml:space="preserve">синхронная запись экрана и звука, перечень сопоставленных элементов и состояний.</w:t>
      </w:r>
    </w:p>
    <w:p>
      <w:pPr>
        <w:pStyle w:val="Compact"/>
        <w:numPr>
          <w:ilvl w:val="0"/>
          <w:numId w:val="1003"/>
        </w:numPr>
      </w:pPr>
      <w:r>
        <w:rPr>
          <w:b/>
          <w:bCs/>
        </w:rPr>
        <w:t xml:space="preserve">Нормативная ссылка:</w:t>
      </w:r>
      <w:r>
        <w:t xml:space="preserve"> </w:t>
      </w:r>
      <w:hyperlink r:id="rId19">
        <w:r>
          <w:rPr>
            <w:rStyle w:val="Hyperlink"/>
          </w:rPr>
          <w:t xml:space="preserve">EN 301 549 V4.1.1, 5.1.3.1, 5.1.3.3, 5.1.3.6, 5.1.3.7, 5.1.3.15 и 11.1.2.1-11.1.2.5</w:t>
        </w:r>
      </w:hyperlink>
      <w:r>
        <w:t xml:space="preserve">.</w:t>
      </w:r>
    </w:p>
    <w:p>
      <w:pPr>
        <w:pStyle w:val="Compact"/>
        <w:numPr>
          <w:ilvl w:val="0"/>
          <w:numId w:val="1003"/>
        </w:numPr>
      </w:pPr>
      <w:r>
        <w:rPr>
          <w:b/>
          <w:bCs/>
        </w:rPr>
        <w:t xml:space="preserve">Граница проекта:</w:t>
      </w:r>
      <w:r>
        <w:t xml:space="preserve"> </w:t>
      </w:r>
      <w:r>
        <w:t xml:space="preserve">порядок сопоставления экранного и звукового журналов является операционализацией проекта.</w:t>
      </w:r>
    </w:p>
    <w:bookmarkEnd w:id="21"/>
    <w:bookmarkStart w:id="22" w:name="X39e61d8bad332f3a5a9164d3fc6eddad30304ff"/>
    <w:p>
      <w:pPr>
        <w:pStyle w:val="Heading3"/>
      </w:pPr>
      <w:bookmarkStart w:id="2084" w:name="_TocAnchor32_2083"/>
      <w:r>
        <w:t xml:space="preserve">Е-03. Управление речью, язык и отсутствие наложения</w:t>
      </w:r>
      <w:bookmarkEnd w:id="2084"/>
    </w:p>
    <w:p>
      <w:pPr>
        <w:pStyle w:val="Compact"/>
        <w:numPr>
          <w:ilvl w:val="0"/>
          <w:numId w:val="1004"/>
        </w:numPr>
      </w:pPr>
      <w:r>
        <w:rPr>
          <w:b/>
          <w:bCs/>
        </w:rPr>
        <w:t xml:space="preserve">Применимость:</w:t>
      </w:r>
      <w:r>
        <w:t xml:space="preserve"> </w:t>
      </w:r>
      <w:r>
        <w:t xml:space="preserve">речевой вывод закрытой функции.</w:t>
      </w:r>
    </w:p>
    <w:p>
      <w:pPr>
        <w:pStyle w:val="Compact"/>
        <w:numPr>
          <w:ilvl w:val="0"/>
          <w:numId w:val="1004"/>
        </w:numPr>
      </w:pPr>
      <w:r>
        <w:rPr>
          <w:b/>
          <w:bCs/>
        </w:rPr>
        <w:t xml:space="preserve">Предусловия:</w:t>
      </w:r>
      <w:r>
        <w:t xml:space="preserve"> </w:t>
      </w:r>
      <w:r>
        <w:t xml:space="preserve">несколько экранов с длинными сообщениями, новая команда во время речи и выбранный язык интерфейса.</w:t>
      </w:r>
    </w:p>
    <w:p>
      <w:pPr>
        <w:pStyle w:val="Compact"/>
        <w:numPr>
          <w:ilvl w:val="0"/>
          <w:numId w:val="1004"/>
        </w:numPr>
      </w:pPr>
      <w:r>
        <w:rPr>
          <w:b/>
          <w:bCs/>
        </w:rPr>
        <w:t xml:space="preserve">Шаги и параметры:</w:t>
      </w:r>
      <w:r>
        <w:t xml:space="preserve"> </w:t>
      </w:r>
      <w:r>
        <w:t xml:space="preserve">запросить повтор и прерывание речи; во время сообщения выполнить допустимое действие и вызвать новое сообщение; проверить, что предыдущее сообщение прерывается, кроме допустимого предупреждения безопасности; вызвать автоматический звук и проверить, что он не мешает речи дольше 3 секунд; сопоставить язык речи и экрана с нормативными исключениями.</w:t>
      </w:r>
    </w:p>
    <w:p>
      <w:pPr>
        <w:pStyle w:val="Compact"/>
        <w:numPr>
          <w:ilvl w:val="0"/>
          <w:numId w:val="1004"/>
        </w:numPr>
      </w:pPr>
      <w:r>
        <w:rPr>
          <w:b/>
          <w:bCs/>
        </w:rPr>
        <w:t xml:space="preserve">Прохождение/нарушение:</w:t>
      </w:r>
      <w:r>
        <w:t xml:space="preserve"> </w:t>
      </w:r>
      <w:r>
        <w:t xml:space="preserve">проходит, если речь можно повторить и прервать по запросу, новая речь не накладывается на прежнюю, мешающий автоматический звук не длится более 3 секунд, а язык совпадает с отображаемым, кроме точного исключения; нарушение по любому невыполненному условию.</w:t>
      </w:r>
    </w:p>
    <w:p>
      <w:pPr>
        <w:pStyle w:val="Compact"/>
        <w:numPr>
          <w:ilvl w:val="0"/>
          <w:numId w:val="1004"/>
        </w:numPr>
      </w:pPr>
      <w:r>
        <w:rPr>
          <w:b/>
          <w:bCs/>
        </w:rPr>
        <w:t xml:space="preserve">NA/не проверено:</w:t>
      </w:r>
      <w:r>
        <w:t xml:space="preserve"> </w:t>
      </w:r>
      <w:r>
        <w:t xml:space="preserve">NA отдельно для отсутствующего автоматического звука или недоступного второго языка; не проверено, если безопасность запрещает прерывание и основание не документировано.</w:t>
      </w:r>
    </w:p>
    <w:p>
      <w:pPr>
        <w:pStyle w:val="Compact"/>
        <w:numPr>
          <w:ilvl w:val="0"/>
          <w:numId w:val="1004"/>
        </w:numPr>
      </w:pPr>
      <w:r>
        <w:rPr>
          <w:b/>
          <w:bCs/>
        </w:rPr>
        <w:t xml:space="preserve">Минимальное доказательство:</w:t>
      </w:r>
      <w:r>
        <w:t xml:space="preserve"> </w:t>
      </w:r>
      <w:r>
        <w:t xml:space="preserve">аудиозапись с временными метками, действиями и выбранным языком.</w:t>
      </w:r>
    </w:p>
    <w:p>
      <w:pPr>
        <w:pStyle w:val="Compact"/>
        <w:numPr>
          <w:ilvl w:val="0"/>
          <w:numId w:val="1004"/>
        </w:numPr>
      </w:pPr>
      <w:r>
        <w:rPr>
          <w:b/>
          <w:bCs/>
        </w:rPr>
        <w:t xml:space="preserve">Нормативная ссылка:</w:t>
      </w:r>
      <w:r>
        <w:t xml:space="preserve"> </w:t>
      </w:r>
      <w:hyperlink r:id="rId19">
        <w:r>
          <w:rPr>
            <w:rStyle w:val="Hyperlink"/>
          </w:rPr>
          <w:t xml:space="preserve">EN 301 549 V4.1.1, 5.1.3.4, 5.1.3.5, 5.1.3.10 и 5.1.3.14</w:t>
        </w:r>
      </w:hyperlink>
      <w:r>
        <w:t xml:space="preserve">.</w:t>
      </w:r>
    </w:p>
    <w:p>
      <w:pPr>
        <w:pStyle w:val="Compact"/>
        <w:numPr>
          <w:ilvl w:val="0"/>
          <w:numId w:val="1004"/>
        </w:numPr>
      </w:pPr>
      <w:r>
        <w:rPr>
          <w:b/>
          <w:bCs/>
        </w:rPr>
        <w:t xml:space="preserve">Граница проекта:</w:t>
      </w:r>
      <w:r>
        <w:t xml:space="preserve"> </w:t>
      </w:r>
      <w:r>
        <w:t xml:space="preserve">допустимость непрерываемого предупреждения подтверждается владельцем и записывается, а не предполагается оценщиком.</w:t>
      </w:r>
    </w:p>
    <w:bookmarkEnd w:id="22"/>
    <w:bookmarkStart w:id="23" w:name="X9e3662d83f300d7eb61d50273a4c963ed724326"/>
    <w:p>
      <w:pPr>
        <w:pStyle w:val="Heading3"/>
      </w:pPr>
      <w:bookmarkStart w:id="2086" w:name="_TocAnchor41_2085"/>
      <w:r>
        <w:t xml:space="preserve">Е-04. Доставка речевого вывода и приватность</w:t>
      </w:r>
      <w:bookmarkEnd w:id="2086"/>
    </w:p>
    <w:p>
      <w:pPr>
        <w:pStyle w:val="Compact"/>
        <w:numPr>
          <w:ilvl w:val="0"/>
          <w:numId w:val="1005"/>
        </w:numPr>
      </w:pPr>
      <w:r>
        <w:rPr>
          <w:b/>
          <w:bCs/>
        </w:rPr>
        <w:t xml:space="preserve">Применимость:</w:t>
      </w:r>
      <w:r>
        <w:t xml:space="preserve"> </w:t>
      </w:r>
      <w:r>
        <w:t xml:space="preserve">речевой вывод как невизуальный доступ к закрытой функции; отдельно ввод скрытых данных и речевой вывод персональной информации на терминале общего пользования.</w:t>
      </w:r>
    </w:p>
    <w:p>
      <w:pPr>
        <w:pStyle w:val="Compact"/>
        <w:numPr>
          <w:ilvl w:val="0"/>
          <w:numId w:val="1005"/>
        </w:numPr>
      </w:pPr>
      <w:r>
        <w:rPr>
          <w:b/>
          <w:bCs/>
        </w:rPr>
        <w:t xml:space="preserve">Предусловия:</w:t>
      </w:r>
      <w:r>
        <w:t xml:space="preserve"> </w:t>
      </w:r>
      <w:r>
        <w:t xml:space="preserve">перечень встроенных и предоставленных механизмов вывода речи, личные наушники при выборе соответствующей ветви, состояния до и после подключения, безопасные вымышленные данные.</w:t>
      </w:r>
    </w:p>
    <w:p>
      <w:pPr>
        <w:pStyle w:val="Compact"/>
        <w:numPr>
          <w:ilvl w:val="0"/>
          <w:numId w:val="1005"/>
        </w:numPr>
      </w:pPr>
      <w:r>
        <w:rPr>
          <w:b/>
          <w:bCs/>
        </w:rPr>
        <w:t xml:space="preserve">Шаги и параметры:</w:t>
      </w:r>
      <w:r>
        <w:t xml:space="preserve"> </w:t>
      </w:r>
      <w:r>
        <w:t xml:space="preserve">для 5.1.3.2 проверить, что речевой вывод доставляется хотя бы одним способом: непосредственно механизмом, встроенным в терминал или предоставленным вместе с ним; через личные наушники, подключаемые без зрения к разъему 3,5 мм; либо, только для персонального устройства, через личные наушники со стандартным отраслевым соединением. Зафиксировать выбранную ветвь и фактическую передачу звука. Отдельно ввести скрытые данные и убедиться, что символы не произносятся, кроме случая заведомо личного прослушивания. Открыть персональную информацию и проверить, что она передается только через механизм личного прослушивания, подключаемый без зрения, либо через иной механизм, явно выбранный пользователем.</w:t>
      </w:r>
    </w:p>
    <w:p>
      <w:pPr>
        <w:pStyle w:val="Compact"/>
        <w:numPr>
          <w:ilvl w:val="0"/>
          <w:numId w:val="1005"/>
        </w:numPr>
      </w:pPr>
      <w:r>
        <w:rPr>
          <w:b/>
          <w:bCs/>
        </w:rPr>
        <w:t xml:space="preserve">Прохождение/нарушение:</w:t>
      </w:r>
      <w:r>
        <w:t xml:space="preserve"> </w:t>
      </w:r>
      <w:r>
        <w:t xml:space="preserve">подрезультат 5.1.3.2 проходит, если выполнена хотя бы одна применимая ветвь доставки речи; отсутствие разъема 3,5 мм не является нарушением, когда выполнена другая допустимая ветвь. Подрезультаты 5.1.3.8 и 5.1.3.9 проходят, если скрытый ввод и персональные сведения не раскрываются публично при указанных нормативных условиях. Нарушение записывается только по невыполненному применимому подрезультату.</w:t>
      </w:r>
    </w:p>
    <w:p>
      <w:pPr>
        <w:pStyle w:val="Compact"/>
        <w:numPr>
          <w:ilvl w:val="0"/>
          <w:numId w:val="1005"/>
        </w:numPr>
      </w:pPr>
      <w:r>
        <w:rPr>
          <w:b/>
          <w:bCs/>
        </w:rPr>
        <w:t xml:space="preserve">NA/не проверено:</w:t>
      </w:r>
      <w:r>
        <w:t xml:space="preserve"> </w:t>
      </w:r>
      <w:r>
        <w:t xml:space="preserve">5.1.3.2 имеет NA без речевого вывода для закрытой функции; ветвь стандартного отраслевого соединения имеет NA для устройства общего пользования. Условия скрытого ввода и персональных сведений имеют отдельный NA при отсутствии соответствующего содержания; не проверено без разрешенного тестового состояния или возможности установить способ доставки.</w:t>
      </w:r>
    </w:p>
    <w:p>
      <w:pPr>
        <w:pStyle w:val="Compact"/>
        <w:numPr>
          <w:ilvl w:val="0"/>
          <w:numId w:val="1005"/>
        </w:numPr>
      </w:pPr>
      <w:r>
        <w:rPr>
          <w:b/>
          <w:bCs/>
        </w:rPr>
        <w:t xml:space="preserve">Минимальное доказательство:</w:t>
      </w:r>
      <w:r>
        <w:t xml:space="preserve"> </w:t>
      </w:r>
      <w:r>
        <w:t xml:space="preserve">выбранная ветвь 5.1.3.2, механизм или соединение, запись фактической передачи звука, способ подключения без зрения при применимости и описание проверки приватности без самих данных.</w:t>
      </w:r>
    </w:p>
    <w:p>
      <w:pPr>
        <w:pStyle w:val="Compact"/>
        <w:numPr>
          <w:ilvl w:val="0"/>
          <w:numId w:val="1005"/>
        </w:numPr>
      </w:pPr>
      <w:r>
        <w:rPr>
          <w:b/>
          <w:bCs/>
        </w:rPr>
        <w:t xml:space="preserve">Нормативная ссылка:</w:t>
      </w:r>
      <w:r>
        <w:t xml:space="preserve"> </w:t>
      </w:r>
      <w:hyperlink r:id="rId19">
        <w:r>
          <w:rPr>
            <w:rStyle w:val="Hyperlink"/>
          </w:rPr>
          <w:t xml:space="preserve">EN 301 549 V4.1.1, 5.1.3.2, 5.1.3.8 и 5.1.3.9</w:t>
        </w:r>
      </w:hyperlink>
      <w:r>
        <w:t xml:space="preserve">.</w:t>
      </w:r>
    </w:p>
    <w:p>
      <w:pPr>
        <w:pStyle w:val="Compact"/>
        <w:numPr>
          <w:ilvl w:val="0"/>
          <w:numId w:val="1005"/>
        </w:numPr>
      </w:pPr>
      <w:r>
        <w:rPr>
          <w:b/>
          <w:bCs/>
        </w:rPr>
        <w:t xml:space="preserve">Граница проекта:</w:t>
      </w:r>
      <w:r>
        <w:t xml:space="preserve"> </w:t>
      </w:r>
      <w:r>
        <w:t xml:space="preserve">тактильная маркировка разъема названа в стандарте примечанием, а не требованием.</w:t>
      </w:r>
      <w:r>
        <w:t xml:space="preserve"> </w:t>
      </w:r>
      <w:r>
        <w:rPr>
          <w:b/>
          <w:bCs/>
        </w:rPr>
        <w:t xml:space="preserve">Предложение проекта:</w:t>
      </w:r>
      <w:r>
        <w:t xml:space="preserve"> </w:t>
      </w:r>
      <w:r>
        <w:t xml:space="preserve">терминал общего пользования предоставляет разъем 3,5 мм и его тактильную маркировку; этот отдельный подрезультат не влияет на нормативный итог 5.1.3.2, если выполнена другая допустимая ветвь.</w:t>
      </w:r>
    </w:p>
    <w:bookmarkEnd w:id="23"/>
    <w:bookmarkStart w:id="24" w:name="е-05.-громкость-и-сброс-уровня"/>
    <w:p>
      <w:pPr>
        <w:pStyle w:val="Heading3"/>
      </w:pPr>
      <w:bookmarkStart w:id="2088" w:name="_TocAnchor50_2087"/>
      <w:r>
        <w:t xml:space="preserve">Е-05. Громкость и сброс уровня</w:t>
      </w:r>
      <w:bookmarkEnd w:id="2088"/>
    </w:p>
    <w:p>
      <w:pPr>
        <w:pStyle w:val="Compact"/>
        <w:numPr>
          <w:ilvl w:val="0"/>
          <w:numId w:val="1006"/>
        </w:numPr>
      </w:pPr>
      <w:r>
        <w:rPr>
          <w:b/>
          <w:bCs/>
        </w:rPr>
        <w:t xml:space="preserve">Применимость:</w:t>
      </w:r>
      <w:r>
        <w:t xml:space="preserve"> </w:t>
      </w:r>
      <w:r>
        <w:t xml:space="preserve">речевой вывод через динамик или личное прослушивание.</w:t>
      </w:r>
    </w:p>
    <w:p>
      <w:pPr>
        <w:pStyle w:val="Compact"/>
        <w:numPr>
          <w:ilvl w:val="0"/>
          <w:numId w:val="1006"/>
        </w:numPr>
      </w:pPr>
      <w:r>
        <w:rPr>
          <w:b/>
          <w:bCs/>
        </w:rPr>
        <w:t xml:space="preserve">Предусловия:</w:t>
      </w:r>
      <w:r>
        <w:t xml:space="preserve"> </w:t>
      </w:r>
      <w:r>
        <w:t xml:space="preserve">измеритель уровня звука, исходный и максимальный уровни, завершение пользовательской сессии.</w:t>
      </w:r>
    </w:p>
    <w:p>
      <w:pPr>
        <w:pStyle w:val="Compact"/>
        <w:numPr>
          <w:ilvl w:val="0"/>
          <w:numId w:val="1006"/>
        </w:numPr>
      </w:pPr>
      <w:r>
        <w:rPr>
          <w:b/>
          <w:bCs/>
        </w:rPr>
        <w:t xml:space="preserve">Шаги и параметры:</w:t>
      </w:r>
      <w:r>
        <w:t xml:space="preserve"> </w:t>
      </w:r>
      <w:r>
        <w:t xml:space="preserve">без зрения изменить громкость личного прослушивания; для динамика проверить пошаговую регулировку и достижение не менее 65 дБА, что стандарт также выражает как -29 дБПаА, измерив в установленной точке; завершить сессию с высокой громкостью и начать новую; проверить сброс личного прослушивания до 65 дБА или ниже.</w:t>
      </w:r>
    </w:p>
    <w:p>
      <w:pPr>
        <w:pStyle w:val="Compact"/>
        <w:numPr>
          <w:ilvl w:val="0"/>
          <w:numId w:val="1006"/>
        </w:numPr>
      </w:pPr>
      <w:r>
        <w:rPr>
          <w:b/>
          <w:bCs/>
        </w:rPr>
        <w:t xml:space="preserve">Прохождение/нарушение:</w:t>
      </w:r>
      <w:r>
        <w:t xml:space="preserve"> </w:t>
      </w:r>
      <w:r>
        <w:t xml:space="preserve">проходит, если личная громкость регулируется без зрения, динамик имеет пошаговую регулировку до уровня не менее 65 дБА (-29 дБПаА), а публичный терминал после каждого использования сбрасывает личное прослушивание до 65 дБА или ниже; нарушение по невыполненному применимому условию.</w:t>
      </w:r>
    </w:p>
    <w:p>
      <w:pPr>
        <w:pStyle w:val="Compact"/>
        <w:numPr>
          <w:ilvl w:val="0"/>
          <w:numId w:val="1006"/>
        </w:numPr>
      </w:pPr>
      <w:r>
        <w:rPr>
          <w:b/>
          <w:bCs/>
        </w:rPr>
        <w:t xml:space="preserve">NA/не проверено:</w:t>
      </w:r>
      <w:r>
        <w:t xml:space="preserve"> </w:t>
      </w:r>
      <w:r>
        <w:t xml:space="preserve">NA отдельно для отсутствующего динамика или личного прослушивания; не проверено без пригодного измерения или возможности завершить сессию.</w:t>
      </w:r>
    </w:p>
    <w:p>
      <w:pPr>
        <w:pStyle w:val="Compact"/>
        <w:numPr>
          <w:ilvl w:val="0"/>
          <w:numId w:val="1006"/>
        </w:numPr>
      </w:pPr>
      <w:r>
        <w:rPr>
          <w:b/>
          <w:bCs/>
        </w:rPr>
        <w:t xml:space="preserve">Минимальное доказательство:</w:t>
      </w:r>
      <w:r>
        <w:t xml:space="preserve"> </w:t>
      </w:r>
      <w:r>
        <w:t xml:space="preserve">модель измерения, положение точки, значения в дБА, шаги регулировки и уровень новой сессии.</w:t>
      </w:r>
    </w:p>
    <w:p>
      <w:pPr>
        <w:pStyle w:val="Compact"/>
        <w:numPr>
          <w:ilvl w:val="0"/>
          <w:numId w:val="1006"/>
        </w:numPr>
      </w:pPr>
      <w:r>
        <w:rPr>
          <w:b/>
          <w:bCs/>
        </w:rPr>
        <w:t xml:space="preserve">Нормативная ссылка:</w:t>
      </w:r>
      <w:r>
        <w:t xml:space="preserve"> </w:t>
      </w:r>
      <w:hyperlink r:id="rId19">
        <w:r>
          <w:rPr>
            <w:rStyle w:val="Hyperlink"/>
          </w:rPr>
          <w:t xml:space="preserve">EN 301 549 V4.1.1, 5.1.3.11-5.1.3.13</w:t>
        </w:r>
      </w:hyperlink>
      <w:r>
        <w:t xml:space="preserve">.</w:t>
      </w:r>
    </w:p>
    <w:p>
      <w:pPr>
        <w:pStyle w:val="Compact"/>
        <w:numPr>
          <w:ilvl w:val="0"/>
          <w:numId w:val="1006"/>
        </w:numPr>
      </w:pPr>
      <w:r>
        <w:rPr>
          <w:b/>
          <w:bCs/>
        </w:rPr>
        <w:t xml:space="preserve">Граница проекта:</w:t>
      </w:r>
      <w:r>
        <w:t xml:space="preserve"> </w:t>
      </w:r>
      <w:r>
        <w:t xml:space="preserve">измерение повторяется при сопоставимом фоновом шуме; оценка разборчивости пользователем хранится отдельно от числового порога.</w:t>
      </w:r>
    </w:p>
    <w:bookmarkEnd w:id="24"/>
    <w:bookmarkStart w:id="25" w:name="е-06.-визуальный-эквивалент-звука"/>
    <w:p>
      <w:pPr>
        <w:pStyle w:val="Heading3"/>
      </w:pPr>
      <w:bookmarkStart w:id="2090" w:name="_TocAnchor59_2089"/>
      <w:r>
        <w:t xml:space="preserve">Е-06. Визуальный эквивалент звука</w:t>
      </w:r>
      <w:bookmarkEnd w:id="2090"/>
    </w:p>
    <w:p>
      <w:pPr>
        <w:pStyle w:val="Compact"/>
        <w:numPr>
          <w:ilvl w:val="0"/>
          <w:numId w:val="1007"/>
        </w:numPr>
      </w:pPr>
      <w:r>
        <w:rPr>
          <w:b/>
          <w:bCs/>
        </w:rPr>
        <w:t xml:space="preserve">Применимость:</w:t>
      </w:r>
      <w:r>
        <w:t xml:space="preserve"> </w:t>
      </w:r>
      <w:r>
        <w:t xml:space="preserve">звуковые инструкции, сигналы, предупреждения и автоматически запускаемый звук.</w:t>
      </w:r>
    </w:p>
    <w:p>
      <w:pPr>
        <w:pStyle w:val="Compact"/>
        <w:numPr>
          <w:ilvl w:val="0"/>
          <w:numId w:val="1007"/>
        </w:numPr>
      </w:pPr>
      <w:r>
        <w:rPr>
          <w:b/>
          <w:bCs/>
        </w:rPr>
        <w:t xml:space="preserve">Предусловия:</w:t>
      </w:r>
      <w:r>
        <w:t xml:space="preserve"> </w:t>
      </w:r>
      <w:r>
        <w:t xml:space="preserve">звук отключен, подготовлены успех, ошибка и предупреждение; при наличии медиа применим протокол В-21.</w:t>
      </w:r>
    </w:p>
    <w:p>
      <w:pPr>
        <w:pStyle w:val="Compact"/>
        <w:numPr>
          <w:ilvl w:val="0"/>
          <w:numId w:val="1007"/>
        </w:numPr>
      </w:pPr>
      <w:r>
        <w:rPr>
          <w:b/>
          <w:bCs/>
        </w:rPr>
        <w:t xml:space="preserve">Шаги и параметры:</w:t>
      </w:r>
      <w:r>
        <w:t xml:space="preserve"> </w:t>
      </w:r>
      <w:r>
        <w:t xml:space="preserve">пройти операции без слуха; для каждого необходимого звука проверить одновременный визуальный эквивалент; для автоматически запускаемого звука длительностью более 3 секунд проверить паузу, остановку или отдельную регулировку громкости. Для открытой части с записанным или прямым аудио и видео выполнить применимые подрезультаты В-21 по субтитрам, транскрипту, аудиоописанию или медиальтернативе.</w:t>
      </w:r>
    </w:p>
    <w:p>
      <w:pPr>
        <w:pStyle w:val="Compact"/>
        <w:numPr>
          <w:ilvl w:val="0"/>
          <w:numId w:val="1007"/>
        </w:numPr>
      </w:pPr>
      <w:r>
        <w:rPr>
          <w:b/>
          <w:bCs/>
        </w:rPr>
        <w:t xml:space="preserve">Прохождение/нарушение:</w:t>
      </w:r>
      <w:r>
        <w:t xml:space="preserve"> </w:t>
      </w:r>
      <w:r>
        <w:t xml:space="preserve">проходит, если каждый необходимый звуковой сигнал имеет достаточный визуальный эквивалент, длительный автоматический звук управляем и все применимые подрезультаты В-21 пройдены; нарушение при звуке как единственном канале, отсутствии управления, требуемой медиаальтернативы или ее синхронизации.</w:t>
      </w:r>
    </w:p>
    <w:p>
      <w:pPr>
        <w:pStyle w:val="Compact"/>
        <w:numPr>
          <w:ilvl w:val="0"/>
          <w:numId w:val="1007"/>
        </w:numPr>
      </w:pPr>
      <w:r>
        <w:rPr>
          <w:b/>
          <w:bCs/>
        </w:rPr>
        <w:t xml:space="preserve">NA/не проверено:</w:t>
      </w:r>
      <w:r>
        <w:t xml:space="preserve"> </w:t>
      </w:r>
      <w:r>
        <w:t xml:space="preserve">NA без звуковой информации и автоматического звука; не проверено, если состояние нельзя вызвать.</w:t>
      </w:r>
    </w:p>
    <w:p>
      <w:pPr>
        <w:pStyle w:val="Compact"/>
        <w:numPr>
          <w:ilvl w:val="0"/>
          <w:numId w:val="1007"/>
        </w:numPr>
      </w:pPr>
      <w:r>
        <w:rPr>
          <w:b/>
          <w:bCs/>
        </w:rPr>
        <w:t xml:space="preserve">Минимальное доказательство:</w:t>
      </w:r>
      <w:r>
        <w:t xml:space="preserve"> </w:t>
      </w:r>
      <w:r>
        <w:t xml:space="preserve">запись звукового и визуального состояния, длительность и доступное управление.</w:t>
      </w:r>
    </w:p>
    <w:p>
      <w:pPr>
        <w:pStyle w:val="Compact"/>
        <w:numPr>
          <w:ilvl w:val="0"/>
          <w:numId w:val="1007"/>
        </w:numPr>
      </w:pPr>
      <w:r>
        <w:rPr>
          <w:b/>
          <w:bCs/>
        </w:rPr>
        <w:t xml:space="preserve">Нормативная ссылка:</w:t>
      </w:r>
      <w:r>
        <w:t xml:space="preserve"> </w:t>
      </w:r>
      <w:hyperlink r:id="rId19">
        <w:r>
          <w:rPr>
            <w:rStyle w:val="Hyperlink"/>
          </w:rPr>
          <w:t xml:space="preserve">EN 301 549 V4.1.1, 5.1.5, 11.1.2.1-11.1.2.5 и 11.1.4.2</w:t>
        </w:r>
      </w:hyperlink>
      <w:r>
        <w:t xml:space="preserve">.</w:t>
      </w:r>
    </w:p>
    <w:p>
      <w:pPr>
        <w:pStyle w:val="Compact"/>
        <w:numPr>
          <w:ilvl w:val="0"/>
          <w:numId w:val="1007"/>
        </w:numPr>
      </w:pPr>
      <w:r>
        <w:rPr>
          <w:b/>
          <w:bCs/>
        </w:rPr>
        <w:t xml:space="preserve">Граница проекта:</w:t>
      </w:r>
      <w:r>
        <w:t xml:space="preserve"> </w:t>
      </w:r>
      <w:r>
        <w:t xml:space="preserve">проверка 11.1.4.2 относится к экранному программному интерфейсу терминала.</w:t>
      </w:r>
    </w:p>
    <w:bookmarkEnd w:id="25"/>
    <w:bookmarkStart w:id="26" w:name="X18fb0bcf2a5373967d6cfb91287a5088adec26c"/>
    <w:p>
      <w:pPr>
        <w:pStyle w:val="Heading3"/>
      </w:pPr>
      <w:bookmarkStart w:id="2092" w:name="_TocAnchor68_2091"/>
      <w:r>
        <w:t xml:space="preserve">Е-07. Тактильная различимость, состояния клавиш и ориентация носителя</w:t>
      </w:r>
      <w:bookmarkEnd w:id="2092"/>
    </w:p>
    <w:p>
      <w:pPr>
        <w:pStyle w:val="Compact"/>
        <w:numPr>
          <w:ilvl w:val="0"/>
          <w:numId w:val="1008"/>
        </w:numPr>
      </w:pPr>
      <w:r>
        <w:rPr>
          <w:b/>
          <w:bCs/>
        </w:rPr>
        <w:t xml:space="preserve">Применимость:</w:t>
      </w:r>
      <w:r>
        <w:t xml:space="preserve"> </w:t>
      </w:r>
      <w:r>
        <w:t xml:space="preserve">физические клавиши и переключатели, цифровая клавиатура, считыватели карт, билетов и документов.</w:t>
      </w:r>
    </w:p>
    <w:p>
      <w:pPr>
        <w:pStyle w:val="Compact"/>
        <w:numPr>
          <w:ilvl w:val="0"/>
          <w:numId w:val="1008"/>
        </w:numPr>
      </w:pPr>
      <w:r>
        <w:rPr>
          <w:b/>
          <w:bCs/>
        </w:rPr>
        <w:t xml:space="preserve">Предусловия:</w:t>
      </w:r>
      <w:r>
        <w:t xml:space="preserve"> </w:t>
      </w:r>
      <w:r>
        <w:t xml:space="preserve">терминал в исходном состоянии, образцы разрешенных носителей без персональных данных.</w:t>
      </w:r>
    </w:p>
    <w:p>
      <w:pPr>
        <w:pStyle w:val="Compact"/>
        <w:numPr>
          <w:ilvl w:val="0"/>
          <w:numId w:val="1008"/>
        </w:numPr>
      </w:pPr>
      <w:r>
        <w:rPr>
          <w:b/>
          <w:bCs/>
        </w:rPr>
        <w:t xml:space="preserve">Шаги и параметры:</w:t>
      </w:r>
      <w:r>
        <w:t xml:space="preserve"> </w:t>
      </w:r>
      <w:r>
        <w:t xml:space="preserve">без зрения различить все рабочие части и их состояния; на прямоугольной цифровой клавиатуре найти клавишу 5 по тактильному признаку; определить состояние фиксируемого или переключающего органа на ощупь или по звуку без его срабатывания; правильно ориентировать каждый носитель по тактильному признаку, если ориентация важна; на терминале общего пользования найти тактильное указание способа запуска речевого режима.</w:t>
      </w:r>
    </w:p>
    <w:p>
      <w:pPr>
        <w:pStyle w:val="Compact"/>
        <w:numPr>
          <w:ilvl w:val="0"/>
          <w:numId w:val="1008"/>
        </w:numPr>
      </w:pPr>
      <w:r>
        <w:rPr>
          <w:b/>
          <w:bCs/>
        </w:rPr>
        <w:t xml:space="preserve">Прохождение/нарушение:</w:t>
      </w:r>
      <w:r>
        <w:t xml:space="preserve"> </w:t>
      </w:r>
      <w:r>
        <w:t xml:space="preserve">проходит, если органы управления и применимые состояния различимы без зрения, клавиша 5 выделена тактильно, важная ориентация носителя определяется на ощупь, а запуск речи обозначен тактильно; нарушение по каждому недоступному условию.</w:t>
      </w:r>
    </w:p>
    <w:p>
      <w:pPr>
        <w:pStyle w:val="Compact"/>
        <w:numPr>
          <w:ilvl w:val="0"/>
          <w:numId w:val="1008"/>
        </w:numPr>
      </w:pPr>
      <w:r>
        <w:rPr>
          <w:b/>
          <w:bCs/>
        </w:rPr>
        <w:t xml:space="preserve">NA/не проверено:</w:t>
      </w:r>
      <w:r>
        <w:t xml:space="preserve"> </w:t>
      </w:r>
      <w:r>
        <w:t xml:space="preserve">NA отдельно для отсутствующего типа части, состояния или носителя; не проверено без разрешенного образца.</w:t>
      </w:r>
    </w:p>
    <w:p>
      <w:pPr>
        <w:pStyle w:val="Compact"/>
        <w:numPr>
          <w:ilvl w:val="0"/>
          <w:numId w:val="1008"/>
        </w:numPr>
      </w:pPr>
      <w:r>
        <w:rPr>
          <w:b/>
          <w:bCs/>
        </w:rPr>
        <w:t xml:space="preserve">Минимальное доказательство:</w:t>
      </w:r>
      <w:r>
        <w:t xml:space="preserve"> </w:t>
      </w:r>
      <w:r>
        <w:t xml:space="preserve">схема панели, фотографии, описание тактильного признака и результат проб без зрения.</w:t>
      </w:r>
    </w:p>
    <w:p>
      <w:pPr>
        <w:pStyle w:val="Compact"/>
        <w:numPr>
          <w:ilvl w:val="0"/>
          <w:numId w:val="1008"/>
        </w:numPr>
      </w:pPr>
      <w:r>
        <w:rPr>
          <w:b/>
          <w:bCs/>
        </w:rPr>
        <w:t xml:space="preserve">Нормативная ссылка:</w:t>
      </w:r>
      <w:r>
        <w:t xml:space="preserve"> </w:t>
      </w:r>
      <w:hyperlink r:id="rId19">
        <w:r>
          <w:rPr>
            <w:rStyle w:val="Hyperlink"/>
          </w:rPr>
          <w:t xml:space="preserve">EN 301 549 V4.1.1, 5.5, 5.6.1, 8.4.1, 8.4.3 и 8.5</w:t>
        </w:r>
      </w:hyperlink>
      <w:r>
        <w:t xml:space="preserve">.</w:t>
      </w:r>
    </w:p>
    <w:p>
      <w:pPr>
        <w:pStyle w:val="Compact"/>
        <w:numPr>
          <w:ilvl w:val="0"/>
          <w:numId w:val="1008"/>
        </w:numPr>
      </w:pPr>
      <w:r>
        <w:rPr>
          <w:b/>
          <w:bCs/>
        </w:rPr>
        <w:t xml:space="preserve">Граница проекта:</w:t>
      </w:r>
      <w:r>
        <w:t xml:space="preserve"> </w:t>
      </w:r>
      <w:r>
        <w:t xml:space="preserve">цветовое отображение состояния проверяется отдельно по Е-10.</w:t>
      </w:r>
    </w:p>
    <w:bookmarkEnd w:id="26"/>
    <w:bookmarkStart w:id="27" w:name="X6f3017a6b20d9643840abf06785b2769b5b99c6"/>
    <w:p>
      <w:pPr>
        <w:pStyle w:val="Heading3"/>
      </w:pPr>
      <w:bookmarkStart w:id="2094" w:name="_TocAnchor77_2093"/>
      <w:r>
        <w:t xml:space="preserve">Е-08. Повтор клавиш и неодновременные действия</w:t>
      </w:r>
      <w:bookmarkEnd w:id="2094"/>
    </w:p>
    <w:p>
      <w:pPr>
        <w:pStyle w:val="Compact"/>
        <w:numPr>
          <w:ilvl w:val="0"/>
          <w:numId w:val="1009"/>
        </w:numPr>
      </w:pPr>
      <w:r>
        <w:rPr>
          <w:b/>
          <w:bCs/>
        </w:rPr>
        <w:t xml:space="preserve">Применимость:</w:t>
      </w:r>
      <w:r>
        <w:t xml:space="preserve"> </w:t>
      </w:r>
      <w:r>
        <w:t xml:space="preserve">физические клавиши с автоповтором, сочетания и действия, требующие одновременного нажатия или удержания.</w:t>
      </w:r>
    </w:p>
    <w:p>
      <w:pPr>
        <w:pStyle w:val="Compact"/>
        <w:numPr>
          <w:ilvl w:val="0"/>
          <w:numId w:val="1009"/>
        </w:numPr>
      </w:pPr>
      <w:r>
        <w:rPr>
          <w:b/>
          <w:bCs/>
        </w:rPr>
        <w:t xml:space="preserve">Предусловия:</w:t>
      </w:r>
      <w:r>
        <w:t xml:space="preserve"> </w:t>
      </w:r>
      <w:r>
        <w:t xml:space="preserve">настройки клавиш доступны, подготовлен безопасный ввод.</w:t>
      </w:r>
    </w:p>
    <w:p>
      <w:pPr>
        <w:pStyle w:val="Compact"/>
        <w:numPr>
          <w:ilvl w:val="0"/>
          <w:numId w:val="1009"/>
        </w:numPr>
      </w:pPr>
      <w:r>
        <w:rPr>
          <w:b/>
          <w:bCs/>
        </w:rPr>
        <w:t xml:space="preserve">Шаги и параметры:</w:t>
      </w:r>
      <w:r>
        <w:t xml:space="preserve"> </w:t>
      </w:r>
      <w:r>
        <w:t xml:space="preserve">настроить задержку автоповтора не менее 2 секунд и скорость до одного символа за 2 секунды; настроить задержку принятия повторного нажатия до не менее 0,5 секунды; каждое одновременное действие выполнить последовательным способом без одновременного нажатия.</w:t>
      </w:r>
    </w:p>
    <w:p>
      <w:pPr>
        <w:pStyle w:val="Compact"/>
        <w:numPr>
          <w:ilvl w:val="0"/>
          <w:numId w:val="1009"/>
        </w:numPr>
      </w:pPr>
      <w:r>
        <w:rPr>
          <w:b/>
          <w:bCs/>
        </w:rPr>
        <w:t xml:space="preserve">Прохождение/нарушение:</w:t>
      </w:r>
      <w:r>
        <w:t xml:space="preserve"> </w:t>
      </w:r>
      <w:r>
        <w:t xml:space="preserve">проходит, если оба диапазона настройки доступны и каждая функция имеет неодновременный режим; нарушение при меньшем диапазоне или обязательном одновременном действии.</w:t>
      </w:r>
    </w:p>
    <w:p>
      <w:pPr>
        <w:pStyle w:val="Compact"/>
        <w:numPr>
          <w:ilvl w:val="0"/>
          <w:numId w:val="1009"/>
        </w:numPr>
      </w:pPr>
      <w:r>
        <w:rPr>
          <w:b/>
          <w:bCs/>
        </w:rPr>
        <w:t xml:space="preserve">NA/не проверено:</w:t>
      </w:r>
      <w:r>
        <w:t xml:space="preserve"> </w:t>
      </w:r>
      <w:r>
        <w:t xml:space="preserve">NA отдельно без автоповтора, повторных нажатий или одновременных действий; не проверено без доступа к настройке.</w:t>
      </w:r>
    </w:p>
    <w:p>
      <w:pPr>
        <w:pStyle w:val="Compact"/>
        <w:numPr>
          <w:ilvl w:val="0"/>
          <w:numId w:val="1009"/>
        </w:numPr>
      </w:pPr>
      <w:r>
        <w:rPr>
          <w:b/>
          <w:bCs/>
        </w:rPr>
        <w:t xml:space="preserve">Минимальное доказательство:</w:t>
      </w:r>
      <w:r>
        <w:t xml:space="preserve"> </w:t>
      </w:r>
      <w:r>
        <w:t xml:space="preserve">значения настроек, временные измерения и запись альтернативной последовательности.</w:t>
      </w:r>
    </w:p>
    <w:p>
      <w:pPr>
        <w:pStyle w:val="Compact"/>
        <w:numPr>
          <w:ilvl w:val="0"/>
          <w:numId w:val="1009"/>
        </w:numPr>
      </w:pPr>
      <w:r>
        <w:rPr>
          <w:b/>
          <w:bCs/>
        </w:rPr>
        <w:t xml:space="preserve">Нормативная ссылка:</w:t>
      </w:r>
      <w:r>
        <w:t xml:space="preserve"> </w:t>
      </w:r>
      <w:hyperlink r:id="rId19">
        <w:r>
          <w:rPr>
            <w:rStyle w:val="Hyperlink"/>
          </w:rPr>
          <w:t xml:space="preserve">EN 301 549 V4.1.1, 5.7-5.9</w:t>
        </w:r>
      </w:hyperlink>
      <w:r>
        <w:t xml:space="preserve">.</w:t>
      </w:r>
    </w:p>
    <w:p>
      <w:pPr>
        <w:pStyle w:val="Compact"/>
        <w:numPr>
          <w:ilvl w:val="0"/>
          <w:numId w:val="1009"/>
        </w:numPr>
      </w:pPr>
      <w:r>
        <w:rPr>
          <w:b/>
          <w:bCs/>
        </w:rPr>
        <w:t xml:space="preserve">Граница проекта:</w:t>
      </w:r>
      <w:r>
        <w:t xml:space="preserve"> </w:t>
      </w:r>
      <w:r>
        <w:t xml:space="preserve">точность измерения и допустимая погрешность фиксируются до прогона.</w:t>
      </w:r>
    </w:p>
    <w:bookmarkEnd w:id="27"/>
    <w:bookmarkStart w:id="28" w:name="X31b5065d94bb3fccf8db687d730fa405f7dc62d"/>
    <w:p>
      <w:pPr>
        <w:pStyle w:val="Heading3"/>
      </w:pPr>
      <w:bookmarkStart w:id="2096" w:name="_TocAnchor86_2095"/>
      <w:r>
        <w:t xml:space="preserve">Е-09. Управление без точного захвата, поворота и высокой силы</w:t>
      </w:r>
      <w:bookmarkEnd w:id="2096"/>
    </w:p>
    <w:p>
      <w:pPr>
        <w:pStyle w:val="Compact"/>
        <w:numPr>
          <w:ilvl w:val="0"/>
          <w:numId w:val="1010"/>
        </w:numPr>
      </w:pPr>
      <w:r>
        <w:rPr>
          <w:b/>
          <w:bCs/>
        </w:rPr>
        <w:t xml:space="preserve">Применимость:</w:t>
      </w:r>
      <w:r>
        <w:t xml:space="preserve"> </w:t>
      </w:r>
      <w:r>
        <w:t xml:space="preserve">физические кнопки, рычаги, крышки, лотки, разъемы и иные ручные действия.</w:t>
      </w:r>
    </w:p>
    <w:p>
      <w:pPr>
        <w:pStyle w:val="Compact"/>
        <w:numPr>
          <w:ilvl w:val="0"/>
          <w:numId w:val="1010"/>
        </w:numPr>
      </w:pPr>
      <w:r>
        <w:rPr>
          <w:b/>
          <w:bCs/>
        </w:rPr>
        <w:t xml:space="preserve">Предусловия:</w:t>
      </w:r>
      <w:r>
        <w:t xml:space="preserve"> </w:t>
      </w:r>
      <w:r>
        <w:t xml:space="preserve">измеритель силы, разрешенные носители, пользователь с ограничением моторики или воспроизводимый ручной сценарий.</w:t>
      </w:r>
    </w:p>
    <w:p>
      <w:pPr>
        <w:pStyle w:val="Compact"/>
        <w:numPr>
          <w:ilvl w:val="0"/>
          <w:numId w:val="1010"/>
        </w:numPr>
      </w:pPr>
      <w:r>
        <w:rPr>
          <w:b/>
          <w:bCs/>
        </w:rPr>
        <w:t xml:space="preserve">Шаги и параметры:</w:t>
      </w:r>
      <w:r>
        <w:t xml:space="preserve"> </w:t>
      </w:r>
      <w:r>
        <w:t xml:space="preserve">выполнить каждую функцию без захвата, щипка и поворота запястья либо доступным альтернативным способом; измерить пиковую силу; если она выше 22,2 Н, проверить альтернативу с силой не более 22,2 Н.</w:t>
      </w:r>
    </w:p>
    <w:p>
      <w:pPr>
        <w:pStyle w:val="Compact"/>
        <w:numPr>
          <w:ilvl w:val="0"/>
          <w:numId w:val="1010"/>
        </w:numPr>
      </w:pPr>
      <w:r>
        <w:rPr>
          <w:b/>
          <w:bCs/>
        </w:rPr>
        <w:t xml:space="preserve">Прохождение/нарушение:</w:t>
      </w:r>
      <w:r>
        <w:t xml:space="preserve"> </w:t>
      </w:r>
      <w:r>
        <w:t xml:space="preserve">проходит, если для каждого действия есть способ без захвата, щипка и поворота запястья, а действие с силой выше 22,2 Н имеет альтернативу не выше 22,2 Н; нарушение при отсутствии такой альтернативы.</w:t>
      </w:r>
    </w:p>
    <w:p>
      <w:pPr>
        <w:pStyle w:val="Compact"/>
        <w:numPr>
          <w:ilvl w:val="0"/>
          <w:numId w:val="1010"/>
        </w:numPr>
      </w:pPr>
      <w:r>
        <w:rPr>
          <w:b/>
          <w:bCs/>
        </w:rPr>
        <w:t xml:space="preserve">NA/не проверено:</w:t>
      </w:r>
      <w:r>
        <w:t xml:space="preserve"> </w:t>
      </w:r>
      <w:r>
        <w:t xml:space="preserve">NA без ручных органов и операций; не проверено без безопасного доступа или измерителя.</w:t>
      </w:r>
    </w:p>
    <w:p>
      <w:pPr>
        <w:pStyle w:val="Compact"/>
        <w:numPr>
          <w:ilvl w:val="0"/>
          <w:numId w:val="1010"/>
        </w:numPr>
      </w:pPr>
      <w:r>
        <w:rPr>
          <w:b/>
          <w:bCs/>
        </w:rPr>
        <w:t xml:space="preserve">Минимальное доказательство:</w:t>
      </w:r>
      <w:r>
        <w:t xml:space="preserve"> </w:t>
      </w:r>
      <w:r>
        <w:t xml:space="preserve">перечень действий, положение руки, измеренное усилие и альтернативный способ.</w:t>
      </w:r>
    </w:p>
    <w:p>
      <w:pPr>
        <w:pStyle w:val="Compact"/>
        <w:numPr>
          <w:ilvl w:val="0"/>
          <w:numId w:val="1010"/>
        </w:numPr>
      </w:pPr>
      <w:r>
        <w:rPr>
          <w:b/>
          <w:bCs/>
        </w:rPr>
        <w:t xml:space="preserve">Нормативная ссылка:</w:t>
      </w:r>
      <w:r>
        <w:t xml:space="preserve"> </w:t>
      </w:r>
      <w:hyperlink r:id="rId19">
        <w:r>
          <w:rPr>
            <w:rStyle w:val="Hyperlink"/>
          </w:rPr>
          <w:t xml:space="preserve">EN 301 549 V4.1.1, 8.4.2.1 и 8.4.2.2</w:t>
        </w:r>
      </w:hyperlink>
      <w:r>
        <w:t xml:space="preserve">.</w:t>
      </w:r>
    </w:p>
    <w:p>
      <w:pPr>
        <w:pStyle w:val="Compact"/>
        <w:numPr>
          <w:ilvl w:val="0"/>
          <w:numId w:val="1010"/>
        </w:numPr>
      </w:pPr>
      <w:r>
        <w:rPr>
          <w:b/>
          <w:bCs/>
        </w:rPr>
        <w:t xml:space="preserve">Граница проекта:</w:t>
      </w:r>
      <w:r>
        <w:t xml:space="preserve"> </w:t>
      </w:r>
      <w:r>
        <w:t xml:space="preserve">диапазон 2,5-5 Н приведен в стандарте только как примечание и не используется как нормативный порог.</w:t>
      </w:r>
    </w:p>
    <w:bookmarkEnd w:id="28"/>
    <w:bookmarkStart w:id="34" w:name="е-10.-текст-контраст-и-цвет"/>
    <w:p>
      <w:pPr>
        <w:pStyle w:val="Heading3"/>
      </w:pPr>
      <w:bookmarkStart w:id="2098" w:name="_TocAnchor95_2097"/>
      <w:r>
        <w:t xml:space="preserve">Е-10. Текст, контраст и цвет</w:t>
      </w:r>
      <w:bookmarkEnd w:id="2098"/>
    </w:p>
    <w:p>
      <w:pPr>
        <w:pStyle w:val="Compact"/>
        <w:numPr>
          <w:ilvl w:val="0"/>
          <w:numId w:val="1011"/>
        </w:numPr>
      </w:pPr>
      <w:r>
        <w:rPr>
          <w:b/>
          <w:bCs/>
        </w:rPr>
        <w:t xml:space="preserve">Применимость:</w:t>
      </w:r>
      <w:r>
        <w:t xml:space="preserve"> </w:t>
      </w:r>
      <w:r>
        <w:t xml:space="preserve">экран, надписи и символы на корпусе, визуальные состояния физических органов управления.</w:t>
      </w:r>
    </w:p>
    <w:p>
      <w:pPr>
        <w:pStyle w:val="Compact"/>
        <w:numPr>
          <w:ilvl w:val="0"/>
          <w:numId w:val="1011"/>
        </w:numPr>
      </w:pPr>
      <w:r>
        <w:rPr>
          <w:b/>
          <w:bCs/>
        </w:rPr>
        <w:t xml:space="preserve">Предусловия:</w:t>
      </w:r>
      <w:r>
        <w:t xml:space="preserve"> </w:t>
      </w:r>
      <w:r>
        <w:t xml:space="preserve">измеримые экраны и состояния, обычное освещение места установки, применимые протоколы В-07, В-08, В-10 и Г-10.</w:t>
      </w:r>
    </w:p>
    <w:p>
      <w:pPr>
        <w:pStyle w:val="Compact"/>
        <w:numPr>
          <w:ilvl w:val="0"/>
          <w:numId w:val="1011"/>
        </w:numPr>
      </w:pPr>
      <w:r>
        <w:rPr>
          <w:b/>
          <w:bCs/>
        </w:rPr>
        <w:t xml:space="preserve">Шаги и параметры:</w:t>
      </w:r>
      <w:r>
        <w:t xml:space="preserve"> </w:t>
      </w:r>
      <w:r>
        <w:t xml:space="preserve">измерить x-высоту необходимого текста закрытой функции: не менее 16 CSS px; проверить контраст текста не менее 4,5:1, крупного текста не менее 3:1, а графических объектов и состояний компонентов не менее 3:1 с точными исключениями WCAG; проверить, что цвет не является единственным средством; для физических надписей и органов подтвердить сочетание светлого и темного без присвоения числового порога пункту 8.8. Для открытой части выполнить В-07 для увеличения текста до 200 процентов и перекомпоновки при 320 CSS px по ширине или 256 CSS px по высоте, В-08 для изменяемой ориентации, В-10 и Г-10 для применимых визуальных свойств.</w:t>
      </w:r>
    </w:p>
    <w:p>
      <w:pPr>
        <w:pStyle w:val="Compact"/>
        <w:numPr>
          <w:ilvl w:val="0"/>
          <w:numId w:val="1011"/>
        </w:numPr>
      </w:pPr>
      <w:r>
        <w:rPr>
          <w:b/>
          <w:bCs/>
        </w:rPr>
        <w:t xml:space="preserve">Прохождение/нарушение:</w:t>
      </w:r>
      <w:r>
        <w:t xml:space="preserve"> </w:t>
      </w:r>
      <w:r>
        <w:t xml:space="preserve">проходит, если выполнены применимые числовые пороги и подключенные подрезультаты В и Г, цвет не единственный канал, а необходимые физические символы и не тактильные органы визуально различимы светлым и темным сочетанием; нарушение по конкретному условию или обязательному подрезультату связанного протокола.</w:t>
      </w:r>
    </w:p>
    <w:p>
      <w:pPr>
        <w:pStyle w:val="Compact"/>
        <w:numPr>
          <w:ilvl w:val="0"/>
          <w:numId w:val="1011"/>
        </w:numPr>
      </w:pPr>
      <w:r>
        <w:rPr>
          <w:b/>
          <w:bCs/>
        </w:rPr>
        <w:t xml:space="preserve">NA/не проверено:</w:t>
      </w:r>
      <w:r>
        <w:t xml:space="preserve"> </w:t>
      </w:r>
      <w:r>
        <w:t xml:space="preserve">NA отдельно для отсутствующего вида содержимого; не проверено без измеримого исходного состояния.</w:t>
      </w:r>
    </w:p>
    <w:p>
      <w:pPr>
        <w:pStyle w:val="Compact"/>
        <w:numPr>
          <w:ilvl w:val="0"/>
          <w:numId w:val="1011"/>
        </w:numPr>
      </w:pPr>
      <w:r>
        <w:rPr>
          <w:b/>
          <w:bCs/>
        </w:rPr>
        <w:t xml:space="preserve">Минимальное доказательство:</w:t>
      </w:r>
      <w:r>
        <w:t xml:space="preserve"> </w:t>
      </w:r>
      <w:r>
        <w:t xml:space="preserve">снимок, точки и результаты измерения, расчет CSS-пикселя и условия освещения.</w:t>
      </w:r>
    </w:p>
    <w:p>
      <w:pPr>
        <w:pStyle w:val="Compact"/>
        <w:numPr>
          <w:ilvl w:val="0"/>
          <w:numId w:val="1011"/>
        </w:numPr>
      </w:pPr>
      <w:r>
        <w:rPr>
          <w:b/>
          <w:bCs/>
        </w:rPr>
        <w:t xml:space="preserve">Нормативная ссылка:</w:t>
      </w:r>
      <w:r>
        <w:t xml:space="preserve"> </w:t>
      </w:r>
      <w:hyperlink r:id="rId19">
        <w:r>
          <w:rPr>
            <w:rStyle w:val="Hyperlink"/>
          </w:rPr>
          <w:t xml:space="preserve">EN 301 549 V4.1.1, 5.1.4, 5.6.2, 8.7, 8.8, 11.1.3.4, 11.1.4.1, 11.1.4.3-11.1.4.4 и 11.1.4.10-11.1.4.11</w:t>
        </w:r>
      </w:hyperlink>
      <w:r>
        <w:t xml:space="preserve">,</w:t>
      </w:r>
      <w:r>
        <w:t xml:space="preserve"> </w:t>
      </w:r>
      <w:hyperlink r:id="rId29">
        <w:r>
          <w:rPr>
            <w:rStyle w:val="Hyperlink"/>
          </w:rPr>
          <w:t xml:space="preserve">WCAG 2.2, 1.3.4</w:t>
        </w:r>
      </w:hyperlink>
      <w:r>
        <w:t xml:space="preserve">,</w:t>
      </w:r>
      <w:r>
        <w:t xml:space="preserve"> </w:t>
      </w:r>
      <w:hyperlink r:id="rId30">
        <w:r>
          <w:rPr>
            <w:rStyle w:val="Hyperlink"/>
          </w:rPr>
          <w:t xml:space="preserve">1.4.3</w:t>
        </w:r>
      </w:hyperlink>
      <w:r>
        <w:t xml:space="preserve">,</w:t>
      </w:r>
      <w:r>
        <w:t xml:space="preserve"> </w:t>
      </w:r>
      <w:hyperlink r:id="rId31">
        <w:r>
          <w:rPr>
            <w:rStyle w:val="Hyperlink"/>
          </w:rPr>
          <w:t xml:space="preserve">1.4.4</w:t>
        </w:r>
      </w:hyperlink>
      <w:r>
        <w:t xml:space="preserve">,</w:t>
      </w:r>
      <w:r>
        <w:t xml:space="preserve"> </w:t>
      </w:r>
      <w:hyperlink r:id="rId32">
        <w:r>
          <w:rPr>
            <w:rStyle w:val="Hyperlink"/>
          </w:rPr>
          <w:t xml:space="preserve">1.4.10</w:t>
        </w:r>
      </w:hyperlink>
      <w:r>
        <w:t xml:space="preserve">,</w:t>
      </w:r>
      <w:r>
        <w:t xml:space="preserve"> </w:t>
      </w:r>
      <w:hyperlink r:id="rId33">
        <w:r>
          <w:rPr>
            <w:rStyle w:val="Hyperlink"/>
          </w:rPr>
          <w:t xml:space="preserve">1.4.11</w:t>
        </w:r>
      </w:hyperlink>
      <w:r>
        <w:t xml:space="preserve">.</w:t>
      </w:r>
    </w:p>
    <w:p>
      <w:pPr>
        <w:pStyle w:val="Compact"/>
        <w:numPr>
          <w:ilvl w:val="0"/>
          <w:numId w:val="1011"/>
        </w:numPr>
      </w:pPr>
      <w:r>
        <w:rPr>
          <w:b/>
          <w:bCs/>
        </w:rPr>
        <w:t xml:space="preserve">Граница проекта:</w:t>
      </w:r>
      <w:r>
        <w:t xml:space="preserve"> </w:t>
      </w:r>
      <w:r>
        <w:t xml:space="preserve">формула пересчета физического размера из примечания к 5.1.4 и коэффициенты Michelson из примечания к 8.8 не выдаются за нормативные пороги.</w:t>
      </w:r>
    </w:p>
    <w:bookmarkEnd w:id="34"/>
    <w:bookmarkStart w:id="35" w:name="X3c1bdf9c8e6725db461230220b91d86bc52dfbf"/>
    <w:p>
      <w:pPr>
        <w:pStyle w:val="Heading3"/>
      </w:pPr>
      <w:bookmarkStart w:id="2100" w:name="_TocAnchor104_2099"/>
      <w:r>
        <w:t xml:space="preserve">Е-11. Клавиатурное управление, фокус и закрытый интерфейс</w:t>
      </w:r>
      <w:bookmarkEnd w:id="2100"/>
    </w:p>
    <w:p>
      <w:pPr>
        <w:pStyle w:val="Compact"/>
        <w:numPr>
          <w:ilvl w:val="0"/>
          <w:numId w:val="1012"/>
        </w:numPr>
      </w:pPr>
      <w:r>
        <w:rPr>
          <w:b/>
          <w:bCs/>
        </w:rPr>
        <w:t xml:space="preserve">Применимость:</w:t>
      </w:r>
      <w:r>
        <w:t xml:space="preserve"> </w:t>
      </w:r>
      <w:r>
        <w:t xml:space="preserve">экранная функция с физической клавиатурой, клавишами навигации или платформенным клавиатурным интерфейсом.</w:t>
      </w:r>
    </w:p>
    <w:p>
      <w:pPr>
        <w:pStyle w:val="Compact"/>
        <w:numPr>
          <w:ilvl w:val="0"/>
          <w:numId w:val="1012"/>
        </w:numPr>
      </w:pPr>
      <w:r>
        <w:rPr>
          <w:b/>
          <w:bCs/>
        </w:rPr>
        <w:t xml:space="preserve">Предусловия:</w:t>
      </w:r>
      <w:r>
        <w:t xml:space="preserve"> </w:t>
      </w:r>
      <w:r>
        <w:t xml:space="preserve">сенсорный ввод отключен, перечень экранов и действий, применимые протоколы В-02, Г-03 и Г-04.</w:t>
      </w:r>
    </w:p>
    <w:p>
      <w:pPr>
        <w:pStyle w:val="Compact"/>
        <w:numPr>
          <w:ilvl w:val="0"/>
          <w:numId w:val="1012"/>
        </w:numPr>
      </w:pPr>
      <w:r>
        <w:rPr>
          <w:b/>
          <w:bCs/>
        </w:rPr>
        <w:t xml:space="preserve">Шаги и параметры:</w:t>
      </w:r>
      <w:r>
        <w:t xml:space="preserve"> </w:t>
      </w:r>
      <w:r>
        <w:t xml:space="preserve">пройти все функции клавишами; войти и выйти из каждого компонента; по В-02 проверить смысловую последовательность содержимого, а по Г-03 и Г-04 порядок, видимость и отсутствие полного перекрытия фокуса; если интерфейс закрыт для клавиатуры, пройти его без зрения по требованиям речевого режима; переместить фокус от каждого компонента тем же механизмом.</w:t>
      </w:r>
    </w:p>
    <w:p>
      <w:pPr>
        <w:pStyle w:val="Compact"/>
        <w:numPr>
          <w:ilvl w:val="0"/>
          <w:numId w:val="1012"/>
        </w:numPr>
      </w:pPr>
      <w:r>
        <w:rPr>
          <w:b/>
          <w:bCs/>
        </w:rPr>
        <w:t xml:space="preserve">Прохождение/нарушение:</w:t>
      </w:r>
      <w:r>
        <w:t xml:space="preserve"> </w:t>
      </w:r>
      <w:r>
        <w:t xml:space="preserve">проходит, если все применимые действия доступны, ловушек нет, порядок и видимость фокуса сохранены, а закрытый для клавиатуры интерфейс полностью управляем без зрения; нарушение при недостижимом действии, ловушке или потере фокуса.</w:t>
      </w:r>
    </w:p>
    <w:p>
      <w:pPr>
        <w:pStyle w:val="Compact"/>
        <w:numPr>
          <w:ilvl w:val="0"/>
          <w:numId w:val="1012"/>
        </w:numPr>
      </w:pPr>
      <w:r>
        <w:rPr>
          <w:b/>
          <w:bCs/>
        </w:rPr>
        <w:t xml:space="preserve">NA/не проверено:</w:t>
      </w:r>
      <w:r>
        <w:t xml:space="preserve"> </w:t>
      </w:r>
      <w:r>
        <w:t xml:space="preserve">NA без физического или платформенного клавиатурного ввода, кроме условий 5.1.6; не проверено при неизвестных клавишах управления.</w:t>
      </w:r>
    </w:p>
    <w:p>
      <w:pPr>
        <w:pStyle w:val="Compact"/>
        <w:numPr>
          <w:ilvl w:val="0"/>
          <w:numId w:val="1012"/>
        </w:numPr>
      </w:pPr>
      <w:r>
        <w:rPr>
          <w:b/>
          <w:bCs/>
        </w:rPr>
        <w:t xml:space="preserve">Минимальное доказательство:</w:t>
      </w:r>
      <w:r>
        <w:t xml:space="preserve"> </w:t>
      </w:r>
      <w:r>
        <w:t xml:space="preserve">последовательность клавиш, экранов и фокуса, запись без сенсорного ввода.</w:t>
      </w:r>
    </w:p>
    <w:p>
      <w:pPr>
        <w:pStyle w:val="Compact"/>
        <w:numPr>
          <w:ilvl w:val="0"/>
          <w:numId w:val="1012"/>
        </w:numPr>
      </w:pPr>
      <w:r>
        <w:rPr>
          <w:b/>
          <w:bCs/>
        </w:rPr>
        <w:t xml:space="preserve">Нормативная ссылка:</w:t>
      </w:r>
      <w:r>
        <w:t xml:space="preserve"> </w:t>
      </w:r>
      <w:hyperlink r:id="rId19">
        <w:r>
          <w:rPr>
            <w:rStyle w:val="Hyperlink"/>
          </w:rPr>
          <w:t xml:space="preserve">EN 301 549 V4.1.1, 5.1.6.1, 5.1.6.2, 11.1.3.2, 11.2.1.1, 11.2.1.2, 11.2.4.3, 11.2.4.7 и 11.2.4.11</w:t>
        </w:r>
      </w:hyperlink>
      <w:r>
        <w:t xml:space="preserve">.</w:t>
      </w:r>
    </w:p>
    <w:p>
      <w:pPr>
        <w:pStyle w:val="Compact"/>
        <w:numPr>
          <w:ilvl w:val="0"/>
          <w:numId w:val="1012"/>
        </w:numPr>
      </w:pPr>
      <w:r>
        <w:rPr>
          <w:b/>
          <w:bCs/>
        </w:rPr>
        <w:t xml:space="preserve">Граница проекта:</w:t>
      </w:r>
      <w:r>
        <w:t xml:space="preserve"> </w:t>
      </w:r>
      <w:r>
        <w:t xml:space="preserve">платформенные условия раздела 11 применяются только там, где их предусловия выполнены.</w:t>
      </w:r>
    </w:p>
    <w:bookmarkEnd w:id="35"/>
    <w:bookmarkStart w:id="36" w:name="X5ae510a122977f57dcf5b9df7abfd9bb8c590fa"/>
    <w:p>
      <w:pPr>
        <w:pStyle w:val="Heading3"/>
      </w:pPr>
      <w:bookmarkStart w:id="2102" w:name="_TocAnchor113_2101"/>
      <w:r>
        <w:t xml:space="preserve">Е-12. Жесты, отмена, движение и размер цели</w:t>
      </w:r>
      <w:bookmarkEnd w:id="2102"/>
    </w:p>
    <w:p>
      <w:pPr>
        <w:pStyle w:val="Compact"/>
        <w:numPr>
          <w:ilvl w:val="0"/>
          <w:numId w:val="1013"/>
        </w:numPr>
      </w:pPr>
      <w:r>
        <w:rPr>
          <w:b/>
          <w:bCs/>
        </w:rPr>
        <w:t xml:space="preserve">Применимость:</w:t>
      </w:r>
      <w:r>
        <w:t xml:space="preserve"> </w:t>
      </w:r>
      <w:r>
        <w:t xml:space="preserve">сенсорный экран и иной указательный ввод.</w:t>
      </w:r>
    </w:p>
    <w:p>
      <w:pPr>
        <w:pStyle w:val="Compact"/>
        <w:numPr>
          <w:ilvl w:val="0"/>
          <w:numId w:val="1013"/>
        </w:numPr>
      </w:pPr>
      <w:r>
        <w:rPr>
          <w:b/>
          <w:bCs/>
        </w:rPr>
        <w:t xml:space="preserve">Предусловия:</w:t>
      </w:r>
      <w:r>
        <w:t xml:space="preserve"> </w:t>
      </w:r>
      <w:r>
        <w:t xml:space="preserve">перечень жестов и целей, применимые протоколы В-03, В-04, В-05, В-06 и В-09.</w:t>
      </w:r>
    </w:p>
    <w:p>
      <w:pPr>
        <w:pStyle w:val="Compact"/>
        <w:numPr>
          <w:ilvl w:val="0"/>
          <w:numId w:val="1013"/>
        </w:numPr>
      </w:pPr>
      <w:r>
        <w:rPr>
          <w:b/>
          <w:bCs/>
        </w:rPr>
        <w:t xml:space="preserve">Шаги и параметры:</w:t>
      </w:r>
      <w:r>
        <w:t xml:space="preserve"> </w:t>
      </w:r>
      <w:r>
        <w:t xml:space="preserve">каждую функцию с многоточечным или траекторным жестом выполнить одним указателем без траектории, кроме существенного жеста; проверить отмену до отпускания или отмену результата; заменить перетаскивание одиночным действием; для функции, запускаемой движением устройства или пользователя, проверить обычный элемент управления и возможность отключить реакцию на движение, кроме поддерживаемого интерфейсом доступности или существенного движения; измерить каждую цель: не менее 24 на 24 CSS px либо точное нормативное исключение.</w:t>
      </w:r>
    </w:p>
    <w:p>
      <w:pPr>
        <w:pStyle w:val="Compact"/>
        <w:numPr>
          <w:ilvl w:val="0"/>
          <w:numId w:val="1013"/>
        </w:numPr>
      </w:pPr>
      <w:r>
        <w:rPr>
          <w:b/>
          <w:bCs/>
        </w:rPr>
        <w:t xml:space="preserve">Прохождение/нарушение:</w:t>
      </w:r>
      <w:r>
        <w:t xml:space="preserve"> </w:t>
      </w:r>
      <w:r>
        <w:t xml:space="preserve">проходит, если все применимые функции имеют указанные альтернативы, нажатие отменяемо, реакция на движение управляется и цели соответствуют размеру или исключению; нарушение записывается по невыполненному условию.</w:t>
      </w:r>
    </w:p>
    <w:p>
      <w:pPr>
        <w:pStyle w:val="Compact"/>
        <w:numPr>
          <w:ilvl w:val="0"/>
          <w:numId w:val="1013"/>
        </w:numPr>
      </w:pPr>
      <w:r>
        <w:rPr>
          <w:b/>
          <w:bCs/>
        </w:rPr>
        <w:t xml:space="preserve">NA/не проверено:</w:t>
      </w:r>
      <w:r>
        <w:t xml:space="preserve"> </w:t>
      </w:r>
      <w:r>
        <w:t xml:space="preserve">NA отдельно без жестов, перетаскивания или малых целей; не проверено без разрешенного действия.</w:t>
      </w:r>
    </w:p>
    <w:p>
      <w:pPr>
        <w:pStyle w:val="Compact"/>
        <w:numPr>
          <w:ilvl w:val="0"/>
          <w:numId w:val="1013"/>
        </w:numPr>
      </w:pPr>
      <w:r>
        <w:rPr>
          <w:b/>
          <w:bCs/>
        </w:rPr>
        <w:t xml:space="preserve">Минимальное доказательство:</w:t>
      </w:r>
      <w:r>
        <w:t xml:space="preserve"> </w:t>
      </w:r>
      <w:r>
        <w:t xml:space="preserve">карта целей, размеры, запись жеста и альтернативы, момент срабатывания.</w:t>
      </w:r>
    </w:p>
    <w:p>
      <w:pPr>
        <w:pStyle w:val="Compact"/>
        <w:numPr>
          <w:ilvl w:val="0"/>
          <w:numId w:val="1013"/>
        </w:numPr>
      </w:pPr>
      <w:r>
        <w:rPr>
          <w:b/>
          <w:bCs/>
        </w:rPr>
        <w:t xml:space="preserve">Нормативная ссылка:</w:t>
      </w:r>
      <w:r>
        <w:t xml:space="preserve"> </w:t>
      </w:r>
      <w:hyperlink r:id="rId19">
        <w:r>
          <w:rPr>
            <w:rStyle w:val="Hyperlink"/>
          </w:rPr>
          <w:t xml:space="preserve">EN 301 549 V4.1.1, 11.2.5.1, 11.2.5.2, 11.2.5.4, 11.2.5.7 и 11.2.5.8</w:t>
        </w:r>
      </w:hyperlink>
      <w:r>
        <w:t xml:space="preserve">.</w:t>
      </w:r>
    </w:p>
    <w:p>
      <w:pPr>
        <w:pStyle w:val="Compact"/>
        <w:numPr>
          <w:ilvl w:val="0"/>
          <w:numId w:val="1013"/>
        </w:numPr>
      </w:pPr>
      <w:r>
        <w:rPr>
          <w:b/>
          <w:bCs/>
        </w:rPr>
        <w:t xml:space="preserve">Граница проекта:</w:t>
      </w:r>
      <w:r>
        <w:t xml:space="preserve"> </w:t>
      </w:r>
      <w:r>
        <w:t xml:space="preserve">существенность жеста и исключение размера цели документируются отдельно для каждой функции.</w:t>
      </w:r>
    </w:p>
    <w:bookmarkEnd w:id="36"/>
    <w:bookmarkStart w:id="37" w:name="X61469701999c4df92e4ffea9033eb491e6826ac"/>
    <w:p>
      <w:pPr>
        <w:pStyle w:val="Heading3"/>
      </w:pPr>
      <w:bookmarkStart w:id="2104" w:name="_TocAnchor122_2103"/>
      <w:r>
        <w:t xml:space="preserve">Е-13. Ограничения времени, движение и вспышки</w:t>
      </w:r>
      <w:bookmarkEnd w:id="2104"/>
    </w:p>
    <w:p>
      <w:pPr>
        <w:pStyle w:val="Compact"/>
        <w:numPr>
          <w:ilvl w:val="0"/>
          <w:numId w:val="1014"/>
        </w:numPr>
      </w:pPr>
      <w:r>
        <w:rPr>
          <w:b/>
          <w:bCs/>
        </w:rPr>
        <w:t xml:space="preserve">Применимость:</w:t>
      </w:r>
      <w:r>
        <w:t xml:space="preserve"> </w:t>
      </w:r>
      <w:r>
        <w:t xml:space="preserve">тайм-ауты, исчезающие сообщения, движение, мигание, прокрутка и автообновление.</w:t>
      </w:r>
    </w:p>
    <w:p>
      <w:pPr>
        <w:pStyle w:val="Compact"/>
        <w:numPr>
          <w:ilvl w:val="0"/>
          <w:numId w:val="1014"/>
        </w:numPr>
      </w:pPr>
      <w:r>
        <w:rPr>
          <w:b/>
          <w:bCs/>
        </w:rPr>
        <w:t xml:space="preserve">Предусловия:</w:t>
      </w:r>
      <w:r>
        <w:t xml:space="preserve"> </w:t>
      </w:r>
      <w:r>
        <w:t xml:space="preserve">средство измерения времени, запись экрана, безопасная сессия, применимый протокол В-14.</w:t>
      </w:r>
    </w:p>
    <w:p>
      <w:pPr>
        <w:pStyle w:val="Compact"/>
        <w:numPr>
          <w:ilvl w:val="0"/>
          <w:numId w:val="1014"/>
        </w:numPr>
      </w:pPr>
      <w:r>
        <w:rPr>
          <w:b/>
          <w:bCs/>
        </w:rPr>
        <w:t xml:space="preserve">Шаги и параметры:</w:t>
      </w:r>
      <w:r>
        <w:t xml:space="preserve"> </w:t>
      </w:r>
      <w:r>
        <w:t xml:space="preserve">для каждого лимита проверить отключение заранее, настройку не менее чем в 10 раз, предупреждение не менее чем за 20 секунд с простым продлением не менее 10 раз либо точное исключение; для движения более 5 секунд и автообновления проверить паузу, остановку, скрытие или управление частотой; проверить отсутствие более 3 вспышек за любую секунду либо нахождение ниже порогов.</w:t>
      </w:r>
    </w:p>
    <w:p>
      <w:pPr>
        <w:pStyle w:val="Compact"/>
        <w:numPr>
          <w:ilvl w:val="0"/>
          <w:numId w:val="1014"/>
        </w:numPr>
      </w:pPr>
      <w:r>
        <w:rPr>
          <w:b/>
          <w:bCs/>
        </w:rPr>
        <w:t xml:space="preserve">Прохождение/нарушение:</w:t>
      </w:r>
      <w:r>
        <w:t xml:space="preserve"> </w:t>
      </w:r>
      <w:r>
        <w:t xml:space="preserve">проходит, если каждый лимит удовлетворяет одной нормативной ветви, движение и обновление управляемы, а вспышки не превышают допустимое условие; нарушение по каждому невыполненному условию.</w:t>
      </w:r>
    </w:p>
    <w:p>
      <w:pPr>
        <w:pStyle w:val="Compact"/>
        <w:numPr>
          <w:ilvl w:val="0"/>
          <w:numId w:val="1014"/>
        </w:numPr>
      </w:pPr>
      <w:r>
        <w:rPr>
          <w:b/>
          <w:bCs/>
        </w:rPr>
        <w:t xml:space="preserve">NA/не проверено:</w:t>
      </w:r>
      <w:r>
        <w:t xml:space="preserve"> </w:t>
      </w:r>
      <w:r>
        <w:t xml:space="preserve">NA отдельно для отсутствующего времени, движения и вспышек; не проверено, если ожидание нельзя выполнить на стенде.</w:t>
      </w:r>
    </w:p>
    <w:p>
      <w:pPr>
        <w:pStyle w:val="Compact"/>
        <w:numPr>
          <w:ilvl w:val="0"/>
          <w:numId w:val="1014"/>
        </w:numPr>
      </w:pPr>
      <w:r>
        <w:rPr>
          <w:b/>
          <w:bCs/>
        </w:rPr>
        <w:t xml:space="preserve">Минимальное доказательство:</w:t>
      </w:r>
      <w:r>
        <w:t xml:space="preserve"> </w:t>
      </w:r>
      <w:r>
        <w:t xml:space="preserve">временные метки, предупреждение, число продлений, запись движения и измерение вспышек.</w:t>
      </w:r>
    </w:p>
    <w:p>
      <w:pPr>
        <w:pStyle w:val="Compact"/>
        <w:numPr>
          <w:ilvl w:val="0"/>
          <w:numId w:val="1014"/>
        </w:numPr>
      </w:pPr>
      <w:r>
        <w:rPr>
          <w:b/>
          <w:bCs/>
        </w:rPr>
        <w:t xml:space="preserve">Нормативная ссылка:</w:t>
      </w:r>
      <w:r>
        <w:t xml:space="preserve"> </w:t>
      </w:r>
      <w:hyperlink r:id="rId19">
        <w:r>
          <w:rPr>
            <w:rStyle w:val="Hyperlink"/>
          </w:rPr>
          <w:t xml:space="preserve">EN 301 549 V4.1.1, 11.2.2.1, 11.2.2.2 и 11.2.3.1</w:t>
        </w:r>
      </w:hyperlink>
      <w:r>
        <w:t xml:space="preserve">.</w:t>
      </w:r>
    </w:p>
    <w:p>
      <w:pPr>
        <w:pStyle w:val="Compact"/>
        <w:numPr>
          <w:ilvl w:val="0"/>
          <w:numId w:val="1014"/>
        </w:numPr>
      </w:pPr>
      <w:r>
        <w:rPr>
          <w:b/>
          <w:bCs/>
        </w:rPr>
        <w:t xml:space="preserve">Граница проекта:</w:t>
      </w:r>
      <w:r>
        <w:t xml:space="preserve"> </w:t>
      </w:r>
      <w:r>
        <w:t xml:space="preserve">сохранение введенного после тайм-аута сверх требований пункта является</w:t>
      </w:r>
      <w:r>
        <w:t xml:space="preserve"> </w:t>
      </w:r>
      <w:r>
        <w:rPr>
          <w:b/>
          <w:bCs/>
        </w:rPr>
        <w:t xml:space="preserve">Предложением проекта</w:t>
      </w:r>
      <w:r>
        <w:t xml:space="preserve"> </w:t>
      </w:r>
      <w:r>
        <w:t xml:space="preserve">и фиксируется отдельно.</w:t>
      </w:r>
    </w:p>
    <w:bookmarkEnd w:id="37"/>
    <w:bookmarkStart w:id="38" w:name="X4fb2e9661c10d70c976dfd793ea904a7034092b"/>
    <w:p>
      <w:pPr>
        <w:pStyle w:val="Heading3"/>
      </w:pPr>
      <w:bookmarkStart w:id="2106" w:name="_TocAnchor131_2105"/>
      <w:r>
        <w:t xml:space="preserve">Е-14. Биометрия, речевой ввод и доступная аутентификация</w:t>
      </w:r>
      <w:bookmarkEnd w:id="2106"/>
    </w:p>
    <w:p>
      <w:pPr>
        <w:pStyle w:val="Compact"/>
        <w:numPr>
          <w:ilvl w:val="0"/>
          <w:numId w:val="1015"/>
        </w:numPr>
      </w:pPr>
      <w:r>
        <w:rPr>
          <w:b/>
          <w:bCs/>
        </w:rPr>
        <w:t xml:space="preserve">Применимость:</w:t>
      </w:r>
      <w:r>
        <w:t xml:space="preserve"> </w:t>
      </w:r>
      <w:r>
        <w:t xml:space="preserve">идентификация, управление или вход по биологической характеристике, речи, запоминанию или решению задачи.</w:t>
      </w:r>
    </w:p>
    <w:p>
      <w:pPr>
        <w:pStyle w:val="Compact"/>
        <w:numPr>
          <w:ilvl w:val="0"/>
          <w:numId w:val="1015"/>
        </w:numPr>
      </w:pPr>
      <w:r>
        <w:rPr>
          <w:b/>
          <w:bCs/>
        </w:rPr>
        <w:t xml:space="preserve">Предусловия:</w:t>
      </w:r>
      <w:r>
        <w:t xml:space="preserve"> </w:t>
      </w:r>
      <w:r>
        <w:t xml:space="preserve">разрешенные тестовые учетные данные, все штатные способы входа, речевой ввод не используется при проверке альтернативы, применим протокол В-15.</w:t>
      </w:r>
    </w:p>
    <w:p>
      <w:pPr>
        <w:pStyle w:val="Compact"/>
        <w:numPr>
          <w:ilvl w:val="0"/>
          <w:numId w:val="1015"/>
        </w:numPr>
      </w:pPr>
      <w:r>
        <w:rPr>
          <w:b/>
          <w:bCs/>
        </w:rPr>
        <w:t xml:space="preserve">Шаги и параметры:</w:t>
      </w:r>
      <w:r>
        <w:t xml:space="preserve"> </w:t>
      </w:r>
      <w:r>
        <w:t xml:space="preserve">для каждой биометрической функции выполнить равноценную небиометрическую альтернативу; для обязательной речи выполнить функцию неречевым способом. Для каждого шага аутентификации установить, требуется ли тест когнитивной функции. Если требуется, проверить хотя бы одну допустимую ветвь: иной способ аутентификации без такого теста; механизм помощи при его выполнении; распознавание объектов; распознавание нетекстового содержимого, ранее предоставленного самим пользователем. Выполнить В-15 и отдельно зафиксировать выбранную ветвь.</w:t>
      </w:r>
    </w:p>
    <w:p>
      <w:pPr>
        <w:pStyle w:val="Compact"/>
        <w:numPr>
          <w:ilvl w:val="0"/>
          <w:numId w:val="1015"/>
        </w:numPr>
      </w:pPr>
      <w:r>
        <w:rPr>
          <w:b/>
          <w:bCs/>
        </w:rPr>
        <w:t xml:space="preserve">Прохождение/нарушение:</w:t>
      </w:r>
      <w:r>
        <w:t xml:space="preserve"> </w:t>
      </w:r>
      <w:r>
        <w:t xml:space="preserve">проходит, если биометрия и речь не являются единственным средством, а каждый когнитивный тест удовлетворяет хотя бы одной из четырех допустимых ветвей. Нарушение при обязательном единственном способе либо когнитивном тесте без альтернативы, механизма помощи, распознавания объектов или личного нетекстового содержимого пользователя.</w:t>
      </w:r>
    </w:p>
    <w:p>
      <w:pPr>
        <w:pStyle w:val="Compact"/>
        <w:numPr>
          <w:ilvl w:val="0"/>
          <w:numId w:val="1015"/>
        </w:numPr>
      </w:pPr>
      <w:r>
        <w:rPr>
          <w:b/>
          <w:bCs/>
        </w:rPr>
        <w:t xml:space="preserve">NA/не проверено:</w:t>
      </w:r>
      <w:r>
        <w:t xml:space="preserve"> </w:t>
      </w:r>
      <w:r>
        <w:t xml:space="preserve">NA отдельно без биометрии, речи или аутентификации; не проверено без разрешенных данных.</w:t>
      </w:r>
    </w:p>
    <w:p>
      <w:pPr>
        <w:pStyle w:val="Compact"/>
        <w:numPr>
          <w:ilvl w:val="0"/>
          <w:numId w:val="1015"/>
        </w:numPr>
      </w:pPr>
      <w:r>
        <w:rPr>
          <w:b/>
          <w:bCs/>
        </w:rPr>
        <w:t xml:space="preserve">Минимальное доказательство:</w:t>
      </w:r>
      <w:r>
        <w:t xml:space="preserve"> </w:t>
      </w:r>
      <w:r>
        <w:t xml:space="preserve">перечень способов, каждый шаг аутентификации, выбранная допустимая ветвь, запись альтернативного пути и одинакового результата без секретных данных.</w:t>
      </w:r>
    </w:p>
    <w:p>
      <w:pPr>
        <w:pStyle w:val="Compact"/>
        <w:numPr>
          <w:ilvl w:val="0"/>
          <w:numId w:val="1015"/>
        </w:numPr>
      </w:pPr>
      <w:r>
        <w:rPr>
          <w:b/>
          <w:bCs/>
        </w:rPr>
        <w:t xml:space="preserve">Нормативная ссылка:</w:t>
      </w:r>
      <w:r>
        <w:t xml:space="preserve"> </w:t>
      </w:r>
      <w:hyperlink r:id="rId19">
        <w:r>
          <w:rPr>
            <w:rStyle w:val="Hyperlink"/>
          </w:rPr>
          <w:t xml:space="preserve">EN 301 549 V4.1.1, 5.1.7, 5.3 и 11.3.3.8</w:t>
        </w:r>
      </w:hyperlink>
      <w:r>
        <w:t xml:space="preserve">.</w:t>
      </w:r>
    </w:p>
    <w:p>
      <w:pPr>
        <w:pStyle w:val="Compact"/>
        <w:numPr>
          <w:ilvl w:val="0"/>
          <w:numId w:val="1015"/>
        </w:numPr>
      </w:pPr>
      <w:r>
        <w:rPr>
          <w:b/>
          <w:bCs/>
        </w:rPr>
        <w:t xml:space="preserve">Граница проекта:</w:t>
      </w:r>
      <w:r>
        <w:t xml:space="preserve"> </w:t>
      </w:r>
      <w:r>
        <w:t xml:space="preserve">равенство результата включает стоимость, срок и объем услуги как</w:t>
      </w:r>
      <w:r>
        <w:t xml:space="preserve"> </w:t>
      </w:r>
      <w:r>
        <w:rPr>
          <w:b/>
          <w:bCs/>
        </w:rPr>
        <w:t xml:space="preserve">Предложение проекта</w:t>
      </w:r>
      <w:r>
        <w:t xml:space="preserve">; оно не заменяет проверку наличия нормативной альтернативы.</w:t>
      </w:r>
    </w:p>
    <w:bookmarkEnd w:id="38"/>
    <w:bookmarkStart w:id="39" w:name="X1b5130bf9b07955d4a5f84c470f7fe9ad93b76a"/>
    <w:p>
      <w:pPr>
        <w:pStyle w:val="Heading3"/>
      </w:pPr>
      <w:bookmarkStart w:id="2108" w:name="_TocAnchor140_2107"/>
      <w:r>
        <w:t xml:space="preserve">Е-15. Подписи, назначение ввода, ошибки, повторный ввод и подтверждение</w:t>
      </w:r>
      <w:bookmarkEnd w:id="2108"/>
    </w:p>
    <w:p>
      <w:pPr>
        <w:pStyle w:val="Compact"/>
        <w:numPr>
          <w:ilvl w:val="0"/>
          <w:numId w:val="1016"/>
        </w:numPr>
      </w:pPr>
      <w:r>
        <w:rPr>
          <w:b/>
          <w:bCs/>
        </w:rPr>
        <w:t xml:space="preserve">Применимость:</w:t>
      </w:r>
      <w:r>
        <w:t xml:space="preserve"> </w:t>
      </w:r>
      <w:r>
        <w:t xml:space="preserve">ввод данных, выбор, заголовки и подписи экранов или разделов, юридически или финансово значимое действие.</w:t>
      </w:r>
    </w:p>
    <w:p>
      <w:pPr>
        <w:pStyle w:val="Compact"/>
        <w:numPr>
          <w:ilvl w:val="0"/>
          <w:numId w:val="1016"/>
        </w:numPr>
      </w:pPr>
      <w:r>
        <w:rPr>
          <w:b/>
          <w:bCs/>
        </w:rPr>
        <w:t xml:space="preserve">Предусловия:</w:t>
      </w:r>
      <w:r>
        <w:t xml:space="preserve"> </w:t>
      </w:r>
      <w:r>
        <w:t xml:space="preserve">пустое, ошибочное и исправленное состояния, безопасные вымышленные данные, применимые протоколы В-12, В-13 и В-22.</w:t>
      </w:r>
    </w:p>
    <w:p>
      <w:pPr>
        <w:pStyle w:val="Compact"/>
        <w:numPr>
          <w:ilvl w:val="0"/>
          <w:numId w:val="1016"/>
        </w:numPr>
      </w:pPr>
      <w:r>
        <w:rPr>
          <w:b/>
          <w:bCs/>
        </w:rPr>
        <w:t xml:space="preserve">Шаги и параметры:</w:t>
      </w:r>
      <w:r>
        <w:t xml:space="preserve"> </w:t>
      </w:r>
      <w:r>
        <w:t xml:space="preserve">проверить, что заголовки и подписи описывают тему или назначение; выполнить В-12 для подписей, инструкций, ошибок и исправления; без зрения определить назначение полей по В-13 и перечню 5.1.8; вызвать ошибку, найти ее и исправить; в многошаговой операции по В-13 проверить, что ранее введенные сведения подставляются либо доступны для выбора, кроме точного исключения; перед окончательной отправкой по В-22 проверить одну из ветвей: обратимость, проверку с возможностью исправления либо просмотр, подтверждение и исправление.</w:t>
      </w:r>
    </w:p>
    <w:p>
      <w:pPr>
        <w:pStyle w:val="Compact"/>
        <w:numPr>
          <w:ilvl w:val="0"/>
          <w:numId w:val="1016"/>
        </w:numPr>
      </w:pPr>
      <w:r>
        <w:rPr>
          <w:b/>
          <w:bCs/>
        </w:rPr>
        <w:t xml:space="preserve">Прохождение/нарушение:</w:t>
      </w:r>
      <w:r>
        <w:t xml:space="preserve"> </w:t>
      </w:r>
      <w:r>
        <w:t xml:space="preserve">проходит, если заголовки и подписи описательны, поля понятны визуально и в речи, назначение применимых полей программно определимо и озвучивается, ошибки определены и исправимы, повторный ввод не требуется без точного исключения, а значимое действие удовлетворяет одной нормативной ветви; нарушение по каждому невыполненному условию или обязательному подрезультату связанного протокола.</w:t>
      </w:r>
    </w:p>
    <w:p>
      <w:pPr>
        <w:pStyle w:val="Compact"/>
        <w:numPr>
          <w:ilvl w:val="0"/>
          <w:numId w:val="1016"/>
        </w:numPr>
      </w:pPr>
      <w:r>
        <w:rPr>
          <w:b/>
          <w:bCs/>
        </w:rPr>
        <w:t xml:space="preserve">NA/не проверено:</w:t>
      </w:r>
      <w:r>
        <w:t xml:space="preserve"> </w:t>
      </w:r>
      <w:r>
        <w:t xml:space="preserve">NA отдельно без ввода или значимого действия; не проверено, если итоговую отправку нельзя безопасно имитировать.</w:t>
      </w:r>
    </w:p>
    <w:p>
      <w:pPr>
        <w:pStyle w:val="Compact"/>
        <w:numPr>
          <w:ilvl w:val="0"/>
          <w:numId w:val="1016"/>
        </w:numPr>
      </w:pPr>
      <w:r>
        <w:rPr>
          <w:b/>
          <w:bCs/>
        </w:rPr>
        <w:t xml:space="preserve">Минимальное доказательство:</w:t>
      </w:r>
      <w:r>
        <w:t xml:space="preserve"> </w:t>
      </w:r>
      <w:r>
        <w:t xml:space="preserve">состояния поля и ошибки, речевая запись, экран просмотра и подтверждения без реальных данных.</w:t>
      </w:r>
    </w:p>
    <w:p>
      <w:pPr>
        <w:pStyle w:val="Compact"/>
        <w:numPr>
          <w:ilvl w:val="0"/>
          <w:numId w:val="1016"/>
        </w:numPr>
      </w:pPr>
      <w:r>
        <w:rPr>
          <w:b/>
          <w:bCs/>
        </w:rPr>
        <w:t xml:space="preserve">Нормативная ссылка:</w:t>
      </w:r>
      <w:r>
        <w:t xml:space="preserve"> </w:t>
      </w:r>
      <w:hyperlink r:id="rId19">
        <w:r>
          <w:rPr>
            <w:rStyle w:val="Hyperlink"/>
          </w:rPr>
          <w:t xml:space="preserve">EN 301 549 V4.1.1, 5.1.8, 11.1.3.5, 11.2.4.6, 11.3.3.1-11.3.3.4 и 11.3.3.7</w:t>
        </w:r>
      </w:hyperlink>
      <w:r>
        <w:t xml:space="preserve">.</w:t>
      </w:r>
    </w:p>
    <w:p>
      <w:pPr>
        <w:pStyle w:val="Compact"/>
        <w:numPr>
          <w:ilvl w:val="0"/>
          <w:numId w:val="1016"/>
        </w:numPr>
      </w:pPr>
      <w:r>
        <w:rPr>
          <w:b/>
          <w:bCs/>
        </w:rPr>
        <w:t xml:space="preserve">Граница проекта:</w:t>
      </w:r>
      <w:r>
        <w:t xml:space="preserve"> </w:t>
      </w:r>
      <w:r>
        <w:t xml:space="preserve">запрет реального платежа не позволяет выдать имитацию за проверку серверного списания.</w:t>
      </w:r>
    </w:p>
    <w:bookmarkEnd w:id="39"/>
    <w:bookmarkStart w:id="40" w:name="X141cbba4a097a01701d537a3fbfc9fa66dbaba8"/>
    <w:p>
      <w:pPr>
        <w:pStyle w:val="Heading3"/>
      </w:pPr>
      <w:bookmarkStart w:id="2110" w:name="_TocAnchor149_2109"/>
      <w:r>
        <w:t xml:space="preserve">Е-16. Высота экрана, информации и органов управления</w:t>
      </w:r>
      <w:bookmarkEnd w:id="2110"/>
    </w:p>
    <w:p>
      <w:pPr>
        <w:pStyle w:val="Compact"/>
        <w:numPr>
          <w:ilvl w:val="0"/>
          <w:numId w:val="1017"/>
        </w:numPr>
      </w:pPr>
      <w:r>
        <w:rPr>
          <w:b/>
          <w:bCs/>
        </w:rPr>
        <w:t xml:space="preserve">Применимость:</w:t>
      </w:r>
      <w:r>
        <w:t xml:space="preserve"> </w:t>
      </w:r>
      <w:r>
        <w:t xml:space="preserve">стационарный терминал, который может быть установлен в соответствии с разделом 8.3.</w:t>
      </w:r>
    </w:p>
    <w:p>
      <w:pPr>
        <w:pStyle w:val="Compact"/>
        <w:numPr>
          <w:ilvl w:val="0"/>
          <w:numId w:val="1017"/>
        </w:numPr>
      </w:pPr>
      <w:r>
        <w:rPr>
          <w:b/>
          <w:bCs/>
        </w:rPr>
        <w:t xml:space="preserve">Предусловия:</w:t>
      </w:r>
      <w:r>
        <w:t xml:space="preserve"> </w:t>
      </w:r>
      <w:r>
        <w:t xml:space="preserve">выбран и обоснован набор условий 1 без конструктивных ограничений либо 2 с документированными ограничениями, измерительная лента и уровень.</w:t>
      </w:r>
    </w:p>
    <w:p>
      <w:pPr>
        <w:pStyle w:val="Compact"/>
        <w:numPr>
          <w:ilvl w:val="0"/>
          <w:numId w:val="1017"/>
        </w:numPr>
      </w:pPr>
      <w:r>
        <w:rPr>
          <w:b/>
          <w:bCs/>
        </w:rPr>
        <w:t xml:space="preserve">Шаги и параметры:</w:t>
      </w:r>
      <w:r>
        <w:t xml:space="preserve"> </w:t>
      </w:r>
      <w:r>
        <w:t xml:space="preserve">измерить от чистого пола: ни одна часть дисплея не ниже 800 мм; необходимая информация не выше 1600 мм для набора 1 или 2000 мм для набора 2. Для 8.3.5.1 без конструктивных ограничений проверить, что хотя бы один орган каждого типа находится в диапазоне 800-1100 мм. Для 8.3.5.2 при документированных ограничениях проверить каждый орган, который нельзя дублировать: диапазон 380-1220 мм и отсутствие помех доступу. Независимо проверить по 8.3.6, что хотя бы один орган каждого типа расположен в области протяженностью не более 900 мм по горизонтали. Проверить, что инструкция по установке доступна и указывает, как соблюдать применимые требования 8.3 и требования места установки.</w:t>
      </w:r>
    </w:p>
    <w:p>
      <w:pPr>
        <w:pStyle w:val="Compact"/>
        <w:numPr>
          <w:ilvl w:val="0"/>
          <w:numId w:val="1017"/>
        </w:numPr>
      </w:pPr>
      <w:r>
        <w:rPr>
          <w:b/>
          <w:bCs/>
        </w:rPr>
        <w:t xml:space="preserve">Прохождение/нарушение:</w:t>
      </w:r>
      <w:r>
        <w:t xml:space="preserve"> </w:t>
      </w:r>
      <w:r>
        <w:t xml:space="preserve">8.3.5.1 проходит, если в диапазоне находится хотя бы один орган каждого имеющегося типа; 8.3.5.2 проходит, если каждый недублируемый орган соответствует отдельным пределам и доступ к нему не затруднен; 8.3.6 проходит, если хотя бы один орган каждого типа входит в область 900 мм. Остальные подрезультаты проходят по своим размерам и содержанию инструкции. Нарушение записывается по невыполненному применимому подрезультату, а не по дополнительному дублируемому органу вне обязательного диапазона.</w:t>
      </w:r>
    </w:p>
    <w:p>
      <w:pPr>
        <w:pStyle w:val="Compact"/>
        <w:numPr>
          <w:ilvl w:val="0"/>
          <w:numId w:val="1017"/>
        </w:numPr>
      </w:pPr>
      <w:r>
        <w:rPr>
          <w:b/>
          <w:bCs/>
        </w:rPr>
        <w:t xml:space="preserve">NA/не проверено:</w:t>
      </w:r>
      <w:r>
        <w:t xml:space="preserve"> </w:t>
      </w:r>
      <w:r>
        <w:t xml:space="preserve">NA для переносного оборудования и частей, не подпадающих под предусловия. 8.3.5.1 имеет NA при наличии ограничений из предусловия 8.3.5.2; 8.3.5.2 имеет NA при их отсутствии. Не проверено, если наличие ограничений не обосновано, типы органов не инвентаризированы или точка пола недоступна.</w:t>
      </w:r>
    </w:p>
    <w:p>
      <w:pPr>
        <w:pStyle w:val="Compact"/>
        <w:numPr>
          <w:ilvl w:val="0"/>
          <w:numId w:val="1017"/>
        </w:numPr>
      </w:pPr>
      <w:r>
        <w:rPr>
          <w:b/>
          <w:bCs/>
        </w:rPr>
        <w:t xml:space="preserve">Минимальное доказательство:</w:t>
      </w:r>
      <w:r>
        <w:t xml:space="preserve"> </w:t>
      </w:r>
      <w:r>
        <w:t xml:space="preserve">фотографии с точками измерения, таблица высот, выбранный набор и основание ограничений.</w:t>
      </w:r>
    </w:p>
    <w:p>
      <w:pPr>
        <w:pStyle w:val="Compact"/>
        <w:numPr>
          <w:ilvl w:val="0"/>
          <w:numId w:val="1017"/>
        </w:numPr>
      </w:pPr>
      <w:r>
        <w:rPr>
          <w:b/>
          <w:bCs/>
        </w:rPr>
        <w:t xml:space="preserve">Нормативная ссылка:</w:t>
      </w:r>
      <w:r>
        <w:t xml:space="preserve"> </w:t>
      </w:r>
      <w:hyperlink r:id="rId19">
        <w:r>
          <w:rPr>
            <w:rStyle w:val="Hyperlink"/>
          </w:rPr>
          <w:t xml:space="preserve">EN 301 549 V4.1.1, 8.3.2, 8.3.3.1, 8.3.3.2, 8.3.5.1, 8.3.5.2, 8.3.6 и 8.3.14</w:t>
        </w:r>
      </w:hyperlink>
      <w:r>
        <w:t xml:space="preserve">.</w:t>
      </w:r>
    </w:p>
    <w:p>
      <w:pPr>
        <w:pStyle w:val="Compact"/>
        <w:numPr>
          <w:ilvl w:val="0"/>
          <w:numId w:val="1017"/>
        </w:numPr>
      </w:pPr>
      <w:r>
        <w:rPr>
          <w:b/>
          <w:bCs/>
        </w:rPr>
        <w:t xml:space="preserve">Граница проекта:</w:t>
      </w:r>
      <w:r>
        <w:t xml:space="preserve"> </w:t>
      </w:r>
      <w:r>
        <w:t xml:space="preserve">пункты 8.3.1 и 8.3.4 информативны; выбор набора не делается по удобству после измерения.</w:t>
      </w:r>
    </w:p>
    <w:bookmarkEnd w:id="40"/>
    <w:bookmarkStart w:id="41" w:name="X6149f08c1a87f4bc69d503994504603c8bc4c10"/>
    <w:p>
      <w:pPr>
        <w:pStyle w:val="Heading3"/>
      </w:pPr>
      <w:bookmarkStart w:id="2112" w:name="_TocAnchor158_2111"/>
      <w:r>
        <w:t xml:space="preserve">Е-17. Глубина досягаемости и свободное пространство</w:t>
      </w:r>
      <w:bookmarkEnd w:id="2112"/>
    </w:p>
    <w:p>
      <w:pPr>
        <w:pStyle w:val="Compact"/>
        <w:numPr>
          <w:ilvl w:val="0"/>
          <w:numId w:val="1018"/>
        </w:numPr>
      </w:pPr>
      <w:r>
        <w:rPr>
          <w:b/>
          <w:bCs/>
        </w:rPr>
        <w:t xml:space="preserve">Применимость:</w:t>
      </w:r>
      <w:r>
        <w:t xml:space="preserve"> </w:t>
      </w:r>
      <w:r>
        <w:t xml:space="preserve">стационарный терминал с фронтальным или боковым подходом и возможным препятствием перед органами управления.</w:t>
      </w:r>
    </w:p>
    <w:p>
      <w:pPr>
        <w:pStyle w:val="Compact"/>
        <w:numPr>
          <w:ilvl w:val="0"/>
          <w:numId w:val="1018"/>
        </w:numPr>
      </w:pPr>
      <w:r>
        <w:rPr>
          <w:b/>
          <w:bCs/>
        </w:rPr>
        <w:t xml:space="preserve">Предусловия:</w:t>
      </w:r>
      <w:r>
        <w:t xml:space="preserve"> </w:t>
      </w:r>
      <w:r>
        <w:t xml:space="preserve">тот же набор условий, что в Е-16, схема подхода и измерительная лента.</w:t>
      </w:r>
    </w:p>
    <w:p>
      <w:pPr>
        <w:pStyle w:val="Compact"/>
        <w:numPr>
          <w:ilvl w:val="0"/>
          <w:numId w:val="1018"/>
        </w:numPr>
      </w:pPr>
      <w:r>
        <w:rPr>
          <w:b/>
          <w:bCs/>
        </w:rPr>
        <w:t xml:space="preserve">Шаги и параметры:</w:t>
      </w:r>
      <w:r>
        <w:t xml:space="preserve"> </w:t>
      </w:r>
      <w:r>
        <w:t xml:space="preserve">для 8.3.7.1 без конструктивных ограничений проверить, что хотя бы один орган каждого типа находится на глубине не более 300 мм. Для 8.3.7.2 при документированных ограничениях проверить, что хотя бы один орган каждого типа находится на глубине не более 510 мм при фронтальном и 610 мм при боковом подходе. При фронтальном доступе препятствие не выше 800 мм и глубиной не более 300 мм для набора 1 либо 510 мм для набора 2. При боковом доступе: для набора 1 высота не более 800 мм, глубина не более 300 мм и верхняя граница досягаемости не выше 1100 мм; для набора 2 высота не более 865 мм, глубина не более 610 мм, верхняя граница досягаемости не выше 1220 мм при глубине до 255 мм и не выше 1170 мм при глубине до 610 мм. Для 8.3.11 сначала зафиксировать одну из трех ветвей: ограничения не препятствуют свободному пространству и не ограничивают его размер; пространство возможно, но его размер ограничен; ограничения полностью препятствуют свободному пространству. В первой ветви измерить значения столбца 8.3.11.1 таблицы 8.2: 900, 700, 280, 350, 450, 350 и 800 мм с указанными в таблице пределами фактической ширины и глубины. Во второй ветви измерить значения столбца 8.3.11.2: 760, 685, 205, 280, 430, 230 и 865 мм с теми же пределами. В третьей ветви записать ограничение и NA для обоих пунктов 8.3.11, не измеряя отсутствующее пространство как нарушение.</w:t>
      </w:r>
    </w:p>
    <w:p>
      <w:pPr>
        <w:pStyle w:val="Compact"/>
        <w:numPr>
          <w:ilvl w:val="0"/>
          <w:numId w:val="1018"/>
        </w:numPr>
      </w:pPr>
      <w:r>
        <w:rPr>
          <w:b/>
          <w:bCs/>
        </w:rPr>
        <w:t xml:space="preserve">Прохождение/нарушение:</w:t>
      </w:r>
      <w:r>
        <w:t xml:space="preserve"> </w:t>
      </w:r>
      <w:r>
        <w:t xml:space="preserve">8.3.7.1 или 8.3.7.2 проходит, если нормативную глубину соблюдает хотя бы один орган каждого имеющегося типа. Размеры препятствия и существующего свободного пространства оцениваются только в применимой ветви. Нарушение записывается при невыполнении применимого размера; дополнительный орган того же типа вне обязательной глубины не образует нарушения, если к нему не относится отдельное требование.</w:t>
      </w:r>
    </w:p>
    <w:p>
      <w:pPr>
        <w:pStyle w:val="Compact"/>
        <w:numPr>
          <w:ilvl w:val="0"/>
          <w:numId w:val="1018"/>
        </w:numPr>
      </w:pPr>
      <w:r>
        <w:rPr>
          <w:b/>
          <w:bCs/>
        </w:rPr>
        <w:t xml:space="preserve">NA/не проверено:</w:t>
      </w:r>
      <w:r>
        <w:t xml:space="preserve"> </w:t>
      </w:r>
      <w:r>
        <w:t xml:space="preserve">8.3.7.1 и 8.3.7.2 имеют взаимно исключающие ветви NA по наличию конструктивных ограничений. Пункты 8.3.11.1 и 8.3.11.2 имеют NA, если ограничения полностью предотвращают свободное пространство; основание фиксируется. Отдельные условия имеют NA без соответствующего направления подхода или препятствия; не проверено, если ограничения не обоснованы, место занято либо границы нельзя надежно измерить.</w:t>
      </w:r>
    </w:p>
    <w:p>
      <w:pPr>
        <w:pStyle w:val="Compact"/>
        <w:numPr>
          <w:ilvl w:val="0"/>
          <w:numId w:val="1018"/>
        </w:numPr>
      </w:pPr>
      <w:r>
        <w:rPr>
          <w:b/>
          <w:bCs/>
        </w:rPr>
        <w:t xml:space="preserve">Минимальное доказательство:</w:t>
      </w:r>
      <w:r>
        <w:t xml:space="preserve"> </w:t>
      </w:r>
      <w:r>
        <w:t xml:space="preserve">схема и фотографии подхода, все значения с единицами и точки измерения.</w:t>
      </w:r>
    </w:p>
    <w:p>
      <w:pPr>
        <w:pStyle w:val="Compact"/>
        <w:numPr>
          <w:ilvl w:val="0"/>
          <w:numId w:val="1018"/>
        </w:numPr>
      </w:pPr>
      <w:r>
        <w:rPr>
          <w:b/>
          <w:bCs/>
        </w:rPr>
        <w:t xml:space="preserve">Нормативная ссылка:</w:t>
      </w:r>
      <w:r>
        <w:t xml:space="preserve"> </w:t>
      </w:r>
      <w:hyperlink r:id="rId19">
        <w:r>
          <w:rPr>
            <w:rStyle w:val="Hyperlink"/>
          </w:rPr>
          <w:t xml:space="preserve">EN 301 549 V4.1.1, 8.3.7.1, 8.3.7.2, 8.3.9.2, 8.3.9.3, 8.3.10.2, 8.3.10.3, таблица 8.1 и 8.3.11</w:t>
        </w:r>
      </w:hyperlink>
      <w:r>
        <w:t xml:space="preserve">.</w:t>
      </w:r>
    </w:p>
    <w:p>
      <w:pPr>
        <w:pStyle w:val="Compact"/>
        <w:numPr>
          <w:ilvl w:val="0"/>
          <w:numId w:val="1018"/>
        </w:numPr>
      </w:pPr>
      <w:r>
        <w:rPr>
          <w:b/>
          <w:bCs/>
        </w:rPr>
        <w:t xml:space="preserve">Граница проекта:</w:t>
      </w:r>
      <w:r>
        <w:t xml:space="preserve"> </w:t>
      </w:r>
      <w:r>
        <w:t xml:space="preserve">направление подхода и наличие конструктивных ограничений фиксируются до оценки размеров. Требования к зданию вне границ оборудования не приписываются EN 301 549.</w:t>
      </w:r>
    </w:p>
    <w:bookmarkEnd w:id="41"/>
    <w:bookmarkStart w:id="42" w:name="Xa1f9119c853effe2c96b51ca20b27da487ad522"/>
    <w:p>
      <w:pPr>
        <w:pStyle w:val="Heading3"/>
      </w:pPr>
      <w:bookmarkStart w:id="2114" w:name="_TocAnchor167_2113"/>
      <w:r>
        <w:t xml:space="preserve">Е-18. Носители, чек и подтверждение результата</w:t>
      </w:r>
      <w:bookmarkEnd w:id="2114"/>
    </w:p>
    <w:p>
      <w:pPr>
        <w:pStyle w:val="Compact"/>
        <w:numPr>
          <w:ilvl w:val="0"/>
          <w:numId w:val="1019"/>
        </w:numPr>
      </w:pPr>
      <w:r>
        <w:rPr>
          <w:b/>
          <w:bCs/>
        </w:rPr>
        <w:t xml:space="preserve">Применимость:</w:t>
      </w:r>
      <w:r>
        <w:t xml:space="preserve"> </w:t>
      </w:r>
      <w:r>
        <w:t xml:space="preserve">считывание карты или документа, выдача чека, билета, талона или иного результата.</w:t>
      </w:r>
    </w:p>
    <w:p>
      <w:pPr>
        <w:pStyle w:val="Compact"/>
        <w:numPr>
          <w:ilvl w:val="0"/>
          <w:numId w:val="1019"/>
        </w:numPr>
      </w:pPr>
      <w:r>
        <w:rPr>
          <w:b/>
          <w:bCs/>
        </w:rPr>
        <w:t xml:space="preserve">Предусловия:</w:t>
      </w:r>
      <w:r>
        <w:t xml:space="preserve"> </w:t>
      </w:r>
      <w:r>
        <w:t xml:space="preserve">разрешенные образцы, имитация успешной и ошибочной операции, включенный речевой режим.</w:t>
      </w:r>
    </w:p>
    <w:p>
      <w:pPr>
        <w:pStyle w:val="Compact"/>
        <w:numPr>
          <w:ilvl w:val="0"/>
          <w:numId w:val="1019"/>
        </w:numPr>
      </w:pPr>
      <w:r>
        <w:rPr>
          <w:b/>
          <w:bCs/>
        </w:rPr>
        <w:t xml:space="preserve">Шаги и параметры:</w:t>
      </w:r>
      <w:r>
        <w:t xml:space="preserve"> </w:t>
      </w:r>
      <w:r>
        <w:t xml:space="preserve">выполнить вставку, считывание, возврат и извлечение носителя; проверить Е-07 для ориентации; получить все способы результата; без зрения определить сведения, необходимые для завершения и проверки операции, включая сумму, получателя, успех, отказ и дальнейшее действие. Если терминал преобразует информацию в цифровой результат другого формата, проверить сохранение поддерживаемой целевым форматом непатентованной информации доступности.</w:t>
      </w:r>
    </w:p>
    <w:p>
      <w:pPr>
        <w:pStyle w:val="Compact"/>
        <w:numPr>
          <w:ilvl w:val="0"/>
          <w:numId w:val="1019"/>
        </w:numPr>
      </w:pPr>
      <w:r>
        <w:rPr>
          <w:b/>
          <w:bCs/>
        </w:rPr>
        <w:t xml:space="preserve">Прохождение/нарушение:</w:t>
      </w:r>
      <w:r>
        <w:t xml:space="preserve"> </w:t>
      </w:r>
      <w:r>
        <w:t xml:space="preserve">проходит, если работа с носителем доступна, сведения, необходимые для завершения или проверки операции, предоставлены невизуально, а преобразование сохраняет поддерживаемую целевым форматом информацию доступности; нарушение при визуально единственном подтверждении, недоступном носителе или потере такой информации.</w:t>
      </w:r>
    </w:p>
    <w:p>
      <w:pPr>
        <w:pStyle w:val="Compact"/>
        <w:numPr>
          <w:ilvl w:val="0"/>
          <w:numId w:val="1019"/>
        </w:numPr>
      </w:pPr>
      <w:r>
        <w:rPr>
          <w:b/>
          <w:bCs/>
        </w:rPr>
        <w:t xml:space="preserve">NA/не проверено:</w:t>
      </w:r>
      <w:r>
        <w:t xml:space="preserve"> </w:t>
      </w:r>
      <w:r>
        <w:t xml:space="preserve">NA отдельно без носителя или выдаваемого результата; печатный чек имеет NA по 5.1.3.16, если его сведения не нужны для завершения операции; не проверено без безопасной имитации.</w:t>
      </w:r>
    </w:p>
    <w:p>
      <w:pPr>
        <w:pStyle w:val="Compact"/>
        <w:numPr>
          <w:ilvl w:val="0"/>
          <w:numId w:val="1019"/>
        </w:numPr>
      </w:pPr>
      <w:r>
        <w:rPr>
          <w:b/>
          <w:bCs/>
        </w:rPr>
        <w:t xml:space="preserve">Минимальное доказательство:</w:t>
      </w:r>
      <w:r>
        <w:t xml:space="preserve"> </w:t>
      </w:r>
      <w:r>
        <w:t xml:space="preserve">запись действий, вид результата, речевое подтверждение и идентификатор тестовой операции без данных.</w:t>
      </w:r>
    </w:p>
    <w:p>
      <w:pPr>
        <w:pStyle w:val="Compact"/>
        <w:numPr>
          <w:ilvl w:val="0"/>
          <w:numId w:val="1019"/>
        </w:numPr>
      </w:pPr>
      <w:r>
        <w:rPr>
          <w:b/>
          <w:bCs/>
        </w:rPr>
        <w:t xml:space="preserve">Нормативная ссылка:</w:t>
      </w:r>
      <w:r>
        <w:t xml:space="preserve"> </w:t>
      </w:r>
      <w:hyperlink r:id="rId19">
        <w:r>
          <w:rPr>
            <w:rStyle w:val="Hyperlink"/>
          </w:rPr>
          <w:t xml:space="preserve">EN 301 549 V4.1.1, 5.1.3.16, 5.4 и 8.4.3</w:t>
        </w:r>
      </w:hyperlink>
      <w:r>
        <w:t xml:space="preserve">.</w:t>
      </w:r>
    </w:p>
    <w:p>
      <w:pPr>
        <w:pStyle w:val="Compact"/>
        <w:numPr>
          <w:ilvl w:val="0"/>
          <w:numId w:val="1019"/>
        </w:numPr>
      </w:pPr>
      <w:r>
        <w:rPr>
          <w:b/>
          <w:bCs/>
        </w:rPr>
        <w:t xml:space="preserve">Граница проекта:</w:t>
      </w:r>
      <w:r>
        <w:t xml:space="preserve"> </w:t>
      </w:r>
      <w:r>
        <w:rPr>
          <w:b/>
          <w:bCs/>
        </w:rPr>
        <w:t xml:space="preserve">Предложение проекта:</w:t>
      </w:r>
      <w:r>
        <w:t xml:space="preserve"> </w:t>
      </w:r>
      <w:r>
        <w:t xml:space="preserve">если распечатка содержит сведения, полезные после завершения, владелец предоставляет равноценный доступный цифровой или речевой способ; это не выдается за условие 5.1.3.16 для обычной квитанции.</w:t>
      </w:r>
    </w:p>
    <w:bookmarkEnd w:id="42"/>
    <w:bookmarkStart w:id="43" w:name="Xc7d440b47d5112dd62d5fb7b0c9dae258e2e776"/>
    <w:p>
      <w:pPr>
        <w:pStyle w:val="Heading3"/>
      </w:pPr>
      <w:bookmarkStart w:id="2116" w:name="_TocAnchor176_2115"/>
      <w:r>
        <w:t xml:space="preserve">Е-19. Статус операции и многоканальное уведомление</w:t>
      </w:r>
      <w:bookmarkEnd w:id="2116"/>
    </w:p>
    <w:p>
      <w:pPr>
        <w:pStyle w:val="Compact"/>
        <w:numPr>
          <w:ilvl w:val="0"/>
          <w:numId w:val="1020"/>
        </w:numPr>
      </w:pPr>
      <w:r>
        <w:rPr>
          <w:b/>
          <w:bCs/>
        </w:rPr>
        <w:t xml:space="preserve">Применимость:</w:t>
      </w:r>
      <w:r>
        <w:t xml:space="preserve"> </w:t>
      </w:r>
      <w:r>
        <w:t xml:space="preserve">ожидание, обработка, запрос носителя, успех, отказ, отмена, ошибка и возврат в исходное состояние.</w:t>
      </w:r>
    </w:p>
    <w:p>
      <w:pPr>
        <w:pStyle w:val="Compact"/>
        <w:numPr>
          <w:ilvl w:val="0"/>
          <w:numId w:val="1020"/>
        </w:numPr>
      </w:pPr>
      <w:r>
        <w:rPr>
          <w:b/>
          <w:bCs/>
        </w:rPr>
        <w:t xml:space="preserve">Предусловия:</w:t>
      </w:r>
      <w:r>
        <w:t xml:space="preserve"> </w:t>
      </w:r>
      <w:r>
        <w:t xml:space="preserve">сценарии всех достижимых состояний, включенная речь и отключенный звук по очереди.</w:t>
      </w:r>
    </w:p>
    <w:p>
      <w:pPr>
        <w:pStyle w:val="Compact"/>
        <w:numPr>
          <w:ilvl w:val="0"/>
          <w:numId w:val="1020"/>
        </w:numPr>
      </w:pPr>
      <w:r>
        <w:rPr>
          <w:b/>
          <w:bCs/>
        </w:rPr>
        <w:t xml:space="preserve">Шаги и параметры:</w:t>
      </w:r>
      <w:r>
        <w:t xml:space="preserve"> </w:t>
      </w:r>
      <w:r>
        <w:t xml:space="preserve">вызвать каждое состояние; проверить своевременное визуальное и звуковое сообщение, не перемещая фокус без необходимости; для открытой части проверить программную определимость сообщения по протоколу В-11 или Г-07; убедиться, что запрос забрать карту, документ, чек или предмет не передается одним каналом.</w:t>
      </w:r>
    </w:p>
    <w:p>
      <w:pPr>
        <w:pStyle w:val="Compact"/>
        <w:numPr>
          <w:ilvl w:val="0"/>
          <w:numId w:val="1020"/>
        </w:numPr>
      </w:pPr>
      <w:r>
        <w:rPr>
          <w:b/>
          <w:bCs/>
        </w:rPr>
        <w:t xml:space="preserve">Прохождение/нарушение:</w:t>
      </w:r>
      <w:r>
        <w:t xml:space="preserve"> </w:t>
      </w:r>
      <w:r>
        <w:t xml:space="preserve">проходит, если существенный статус доступен зрительно и на слух, а в открытой части программно определим без обязательного переноса фокуса; нарушение при молчаливом ожидании, сообщении одним каналом или недоступном итоге.</w:t>
      </w:r>
    </w:p>
    <w:p>
      <w:pPr>
        <w:pStyle w:val="Compact"/>
        <w:numPr>
          <w:ilvl w:val="0"/>
          <w:numId w:val="1020"/>
        </w:numPr>
      </w:pPr>
      <w:r>
        <w:rPr>
          <w:b/>
          <w:bCs/>
        </w:rPr>
        <w:t xml:space="preserve">NA/не проверено:</w:t>
      </w:r>
      <w:r>
        <w:t xml:space="preserve"> </w:t>
      </w:r>
      <w:r>
        <w:t xml:space="preserve">NA отдельно для отсутствующей открытой части или физической выдачи; не проверено для состояния, которое нельзя безопасно вызвать.</w:t>
      </w:r>
    </w:p>
    <w:p>
      <w:pPr>
        <w:pStyle w:val="Compact"/>
        <w:numPr>
          <w:ilvl w:val="0"/>
          <w:numId w:val="1020"/>
        </w:numPr>
      </w:pPr>
      <w:r>
        <w:rPr>
          <w:b/>
          <w:bCs/>
        </w:rPr>
        <w:t xml:space="preserve">Минимальное доказательство:</w:t>
      </w:r>
      <w:r>
        <w:t xml:space="preserve"> </w:t>
      </w:r>
      <w:r>
        <w:t xml:space="preserve">журнал состояний и времени, синхронная запись изображения и звука, программное событие при применимости.</w:t>
      </w:r>
    </w:p>
    <w:p>
      <w:pPr>
        <w:pStyle w:val="Compact"/>
        <w:numPr>
          <w:ilvl w:val="0"/>
          <w:numId w:val="1020"/>
        </w:numPr>
      </w:pPr>
      <w:r>
        <w:rPr>
          <w:b/>
          <w:bCs/>
        </w:rPr>
        <w:t xml:space="preserve">Нормативная ссылка:</w:t>
      </w:r>
      <w:r>
        <w:t xml:space="preserve"> </w:t>
      </w:r>
      <w:hyperlink r:id="rId19">
        <w:r>
          <w:rPr>
            <w:rStyle w:val="Hyperlink"/>
          </w:rPr>
          <w:t xml:space="preserve">EN 301 549 V4.1.1, 5.1.3.15, 5.1.5 и 11.4.1.3</w:t>
        </w:r>
      </w:hyperlink>
      <w:r>
        <w:t xml:space="preserve">.</w:t>
      </w:r>
    </w:p>
    <w:p>
      <w:pPr>
        <w:pStyle w:val="Compact"/>
        <w:numPr>
          <w:ilvl w:val="0"/>
          <w:numId w:val="1020"/>
        </w:numPr>
      </w:pPr>
      <w:r>
        <w:rPr>
          <w:b/>
          <w:bCs/>
        </w:rPr>
        <w:t xml:space="preserve">Граница проекта:</w:t>
      </w:r>
      <w:r>
        <w:t xml:space="preserve"> </w:t>
      </w:r>
      <w:r>
        <w:t xml:space="preserve">запрос забрать носитель и фиксация молчаливого ожидания являются сценарной операционализацией применимых требований.</w:t>
      </w:r>
    </w:p>
    <w:bookmarkEnd w:id="43"/>
    <w:bookmarkStart w:id="44" w:name="Xd42c68812f270cbf9877e661a424fbd7d896984"/>
    <w:p>
      <w:pPr>
        <w:pStyle w:val="Heading3"/>
      </w:pPr>
      <w:bookmarkStart w:id="2118" w:name="_TocAnchor185_2117"/>
      <w:r>
        <w:t xml:space="preserve">Е-20. Помощь, связь с оператором и сведения о функциях доступности</w:t>
      </w:r>
      <w:bookmarkEnd w:id="2118"/>
    </w:p>
    <w:p>
      <w:pPr>
        <w:pStyle w:val="Compact"/>
        <w:numPr>
          <w:ilvl w:val="0"/>
          <w:numId w:val="1021"/>
        </w:numPr>
      </w:pPr>
      <w:r>
        <w:rPr>
          <w:b/>
          <w:bCs/>
        </w:rPr>
        <w:t xml:space="preserve">Применимость:</w:t>
      </w:r>
      <w:r>
        <w:t xml:space="preserve"> </w:t>
      </w:r>
      <w:r>
        <w:t xml:space="preserve">встроенная помощь, документация на терминале, кнопка или иной канал связи с оператором.</w:t>
      </w:r>
    </w:p>
    <w:p>
      <w:pPr>
        <w:pStyle w:val="Compact"/>
        <w:numPr>
          <w:ilvl w:val="0"/>
          <w:numId w:val="1021"/>
        </w:numPr>
      </w:pPr>
      <w:r>
        <w:rPr>
          <w:b/>
          <w:bCs/>
        </w:rPr>
        <w:t xml:space="preserve">Предусловия:</w:t>
      </w:r>
      <w:r>
        <w:t xml:space="preserve"> </w:t>
      </w:r>
      <w:r>
        <w:t xml:space="preserve">терминал в обычном и ошибочном состояниях, доступные каналы помощи, согласованный тестовый вызов без передачи данных.</w:t>
      </w:r>
    </w:p>
    <w:p>
      <w:pPr>
        <w:pStyle w:val="Compact"/>
        <w:numPr>
          <w:ilvl w:val="0"/>
          <w:numId w:val="1021"/>
        </w:numPr>
      </w:pPr>
      <w:r>
        <w:rPr>
          <w:b/>
          <w:bCs/>
        </w:rPr>
        <w:t xml:space="preserve">Шаги и параметры:</w:t>
      </w:r>
      <w:r>
        <w:t xml:space="preserve"> </w:t>
      </w:r>
      <w:r>
        <w:t xml:space="preserve">без зрения и без слуха найти помощь; получить сведения о функциях доступности, способах их использования и поддержке; при наличии связи с оператором начать и отменить тестовый вызов, определить статус соединения и проверить текстовую или иную альтернативу голосу.</w:t>
      </w:r>
    </w:p>
    <w:p>
      <w:pPr>
        <w:pStyle w:val="Compact"/>
        <w:numPr>
          <w:ilvl w:val="0"/>
          <w:numId w:val="1021"/>
        </w:numPr>
      </w:pPr>
      <w:r>
        <w:rPr>
          <w:b/>
          <w:bCs/>
        </w:rPr>
        <w:t xml:space="preserve">Прохождение/нарушение:</w:t>
      </w:r>
      <w:r>
        <w:t xml:space="preserve"> </w:t>
      </w:r>
      <w:r>
        <w:t xml:space="preserve">нормативный подрезультат проходит, если имеющаяся на терминале документация содержит сведения о функциях доступности, их использовании и получении поддержки; нарушение при отсутствии этих сведений. Проектный подрезультат отдельно проходит, если помощь обнаружима, вызов имеет доступный статус и голос не является единственным каналом.</w:t>
      </w:r>
    </w:p>
    <w:p>
      <w:pPr>
        <w:pStyle w:val="Compact"/>
        <w:numPr>
          <w:ilvl w:val="0"/>
          <w:numId w:val="1021"/>
        </w:numPr>
      </w:pPr>
      <w:r>
        <w:rPr>
          <w:b/>
          <w:bCs/>
        </w:rPr>
        <w:t xml:space="preserve">NA/не проверено:</w:t>
      </w:r>
      <w:r>
        <w:t xml:space="preserve"> </w:t>
      </w:r>
      <w:r>
        <w:t xml:space="preserve">NA по EN 12.3, если документации на терминале и официальной страницы документации нет; проектный NA без канала оператора; не проверено без разрешения выполнить тестовый вызов.</w:t>
      </w:r>
    </w:p>
    <w:p>
      <w:pPr>
        <w:pStyle w:val="Compact"/>
        <w:numPr>
          <w:ilvl w:val="0"/>
          <w:numId w:val="1021"/>
        </w:numPr>
      </w:pPr>
      <w:r>
        <w:rPr>
          <w:b/>
          <w:bCs/>
        </w:rPr>
        <w:t xml:space="preserve">Минимальное доказательство:</w:t>
      </w:r>
      <w:r>
        <w:t xml:space="preserve"> </w:t>
      </w:r>
      <w:r>
        <w:t xml:space="preserve">экраны помощи, способ обнаружения, состояния вызова и результат альтернативного канала.</w:t>
      </w:r>
    </w:p>
    <w:p>
      <w:pPr>
        <w:pStyle w:val="Compact"/>
        <w:numPr>
          <w:ilvl w:val="0"/>
          <w:numId w:val="1021"/>
        </w:numPr>
      </w:pPr>
      <w:r>
        <w:rPr>
          <w:b/>
          <w:bCs/>
        </w:rPr>
        <w:t xml:space="preserve">Нормативная ссылка:</w:t>
      </w:r>
      <w:r>
        <w:t xml:space="preserve"> </w:t>
      </w:r>
      <w:hyperlink r:id="rId19">
        <w:r>
          <w:rPr>
            <w:rStyle w:val="Hyperlink"/>
          </w:rPr>
          <w:t xml:space="preserve">EN 301 549 V4.1.1, 12.3</w:t>
        </w:r>
      </w:hyperlink>
      <w:r>
        <w:t xml:space="preserve">.</w:t>
      </w:r>
    </w:p>
    <w:p>
      <w:pPr>
        <w:pStyle w:val="Compact"/>
        <w:numPr>
          <w:ilvl w:val="0"/>
          <w:numId w:val="1021"/>
        </w:numPr>
      </w:pPr>
      <w:r>
        <w:rPr>
          <w:b/>
          <w:bCs/>
        </w:rPr>
        <w:t xml:space="preserve">Граница проекта:</w:t>
      </w:r>
      <w:r>
        <w:t xml:space="preserve"> </w:t>
      </w:r>
      <w:r>
        <w:t xml:space="preserve">требования к доступности самого канала поддержки следуют применимому виду ресурса.</w:t>
      </w:r>
      <w:r>
        <w:t xml:space="preserve"> </w:t>
      </w:r>
      <w:r>
        <w:rPr>
          <w:b/>
          <w:bCs/>
        </w:rPr>
        <w:t xml:space="preserve">Предложение проекта:</w:t>
      </w:r>
      <w:r>
        <w:t xml:space="preserve"> </w:t>
      </w:r>
      <w:r>
        <w:t xml:space="preserve">терминал общего пользования предоставляет обнаружимую связь с оператором и неголосовую альтернативу; это правило не приписывается пункту 12.3.</w:t>
      </w:r>
    </w:p>
    <w:bookmarkEnd w:id="44"/>
    <w:bookmarkStart w:id="45" w:name="Xd7db2d1a5f764b863de37195e9dac0289c8b878"/>
    <w:p>
      <w:pPr>
        <w:pStyle w:val="Heading3"/>
      </w:pPr>
      <w:bookmarkStart w:id="2120" w:name="_TocAnchor194_2119"/>
      <w:r>
        <w:t xml:space="preserve">Е-21. Телефонная трубка и стандартные соединения</w:t>
      </w:r>
      <w:bookmarkEnd w:id="2120"/>
    </w:p>
    <w:p>
      <w:pPr>
        <w:pStyle w:val="Compact"/>
        <w:numPr>
          <w:ilvl w:val="0"/>
          <w:numId w:val="1022"/>
        </w:numPr>
      </w:pPr>
      <w:r>
        <w:rPr>
          <w:b/>
          <w:bCs/>
        </w:rPr>
        <w:t xml:space="preserve">Применимость:</w:t>
      </w:r>
      <w:r>
        <w:t xml:space="preserve"> </w:t>
      </w:r>
      <w:r>
        <w:t xml:space="preserve">терминал с телефонной трубкой, которую держат у уха, либо с пользовательскими точками ввода или вывода.</w:t>
      </w:r>
    </w:p>
    <w:p>
      <w:pPr>
        <w:pStyle w:val="Compact"/>
        <w:numPr>
          <w:ilvl w:val="0"/>
          <w:numId w:val="1022"/>
        </w:numPr>
      </w:pPr>
      <w:r>
        <w:rPr>
          <w:b/>
          <w:bCs/>
        </w:rPr>
        <w:t xml:space="preserve">Предусловия:</w:t>
      </w:r>
      <w:r>
        <w:t xml:space="preserve"> </w:t>
      </w:r>
      <w:r>
        <w:t xml:space="preserve">разрешенный тестовый вызов, измеритель усиления при наличии трубки, перечень пользовательских соединений.</w:t>
      </w:r>
    </w:p>
    <w:p>
      <w:pPr>
        <w:pStyle w:val="Compact"/>
        <w:numPr>
          <w:ilvl w:val="0"/>
          <w:numId w:val="1022"/>
        </w:numPr>
      </w:pPr>
      <w:r>
        <w:rPr>
          <w:b/>
          <w:bCs/>
        </w:rPr>
        <w:t xml:space="preserve">Шаги и параметры:</w:t>
      </w:r>
      <w:r>
        <w:t xml:space="preserve"> </w:t>
      </w:r>
      <w:r>
        <w:t xml:space="preserve">для проводной или беспроводной трубки проверить усиление не менее 18 дБ относительно обычного уровня; при пошаговой регулировке проверить промежуточный шаг не менее 12 дБ выше минимального; проверить магнитную связь и требуемую маркировку публичной проводной трубки по указанным в пункте 8.2.2 стандартам. Инвентаризировать физические и беспроводные пользовательские точки ввода и вывода. Для нормативного подрезультата 8.6 проверить наличие хотя бы одного стандартного непатентованного входного и/или выходного соединения непосредственно либо через коммерчески доступный адаптер; при адаптере подтвердить его доступность.</w:t>
      </w:r>
    </w:p>
    <w:p>
      <w:pPr>
        <w:pStyle w:val="Compact"/>
        <w:numPr>
          <w:ilvl w:val="0"/>
          <w:numId w:val="1022"/>
        </w:numPr>
      </w:pPr>
      <w:r>
        <w:rPr>
          <w:b/>
          <w:bCs/>
        </w:rPr>
        <w:t xml:space="preserve">Прохождение/нарушение:</w:t>
      </w:r>
      <w:r>
        <w:t xml:space="preserve"> </w:t>
      </w:r>
      <w:r>
        <w:t xml:space="preserve">применимые условия трубки оцениваются отдельно. Подрезультат 8.6 проходит при наличии хотя бы одного подходящего стандартного непатентованного соединения напрямую или через коммерчески доступный адаптер; нарушение только при отсутствии такого соединения. Другие пользовательские точки не обязаны иметь такое соединение для прохождения 8.6.</w:t>
      </w:r>
    </w:p>
    <w:p>
      <w:pPr>
        <w:pStyle w:val="Compact"/>
        <w:numPr>
          <w:ilvl w:val="0"/>
          <w:numId w:val="1022"/>
        </w:numPr>
      </w:pPr>
      <w:r>
        <w:rPr>
          <w:b/>
          <w:bCs/>
        </w:rPr>
        <w:t xml:space="preserve">NA/не проверено:</w:t>
      </w:r>
      <w:r>
        <w:t xml:space="preserve"> </w:t>
      </w:r>
      <w:r>
        <w:t xml:space="preserve">NA отдельно без трубки и без пользовательских точек ввода или вывода; не проверено без измерителя, разрешенного вызова или документации соединения.</w:t>
      </w:r>
    </w:p>
    <w:p>
      <w:pPr>
        <w:pStyle w:val="Compact"/>
        <w:numPr>
          <w:ilvl w:val="0"/>
          <w:numId w:val="1022"/>
        </w:numPr>
      </w:pPr>
      <w:r>
        <w:rPr>
          <w:b/>
          <w:bCs/>
        </w:rPr>
        <w:t xml:space="preserve">Минимальное доказательство:</w:t>
      </w:r>
      <w:r>
        <w:t xml:space="preserve"> </w:t>
      </w:r>
      <w:r>
        <w:t xml:space="preserve">тип трубки и соединения, значения усиления, промежуточный шаг, результат проверки связи и фотография маркировки.</w:t>
      </w:r>
    </w:p>
    <w:p>
      <w:pPr>
        <w:pStyle w:val="Compact"/>
        <w:numPr>
          <w:ilvl w:val="0"/>
          <w:numId w:val="1022"/>
        </w:numPr>
      </w:pPr>
      <w:r>
        <w:rPr>
          <w:b/>
          <w:bCs/>
        </w:rPr>
        <w:t xml:space="preserve">Нормативная ссылка:</w:t>
      </w:r>
      <w:r>
        <w:t xml:space="preserve"> </w:t>
      </w:r>
      <w:hyperlink r:id="rId19">
        <w:r>
          <w:rPr>
            <w:rStyle w:val="Hyperlink"/>
          </w:rPr>
          <w:t xml:space="preserve">EN 301 549 V4.1.1, 8.2.1.1, 8.2.1.2, 8.2.2.1, 8.2.2.2 и 8.6</w:t>
        </w:r>
      </w:hyperlink>
      <w:r>
        <w:t xml:space="preserve">.</w:t>
      </w:r>
    </w:p>
    <w:p>
      <w:pPr>
        <w:pStyle w:val="Compact"/>
        <w:numPr>
          <w:ilvl w:val="0"/>
          <w:numId w:val="1022"/>
        </w:numPr>
      </w:pPr>
      <w:r>
        <w:rPr>
          <w:b/>
          <w:bCs/>
        </w:rPr>
        <w:t xml:space="preserve">Граница проекта:</w:t>
      </w:r>
      <w:r>
        <w:t xml:space="preserve"> </w:t>
      </w:r>
      <w:r>
        <w:t xml:space="preserve">методы испытаний магнитной связи берутся из прямо названных в 8.2.2 стандартов; без такого испытания подрезультат остается «не проверено».</w:t>
      </w:r>
      <w:r>
        <w:t xml:space="preserve"> </w:t>
      </w:r>
      <w:r>
        <w:rPr>
          <w:b/>
          <w:bCs/>
        </w:rPr>
        <w:t xml:space="preserve">Предложение проекта:</w:t>
      </w:r>
      <w:r>
        <w:t xml:space="preserve"> </w:t>
      </w:r>
      <w:r>
        <w:t xml:space="preserve">стандартное непатентованное соединение проверяется для каждой пользовательской точки отдельно; этот более строгий подрезультат не влияет на нормативный итог 8.6.</w:t>
      </w:r>
    </w:p>
    <w:bookmarkEnd w:id="45"/>
    <w:bookmarkStart w:id="46" w:name="X02ed1d4fc8a817285620b17b593774a4847e198"/>
    <w:p>
      <w:pPr>
        <w:pStyle w:val="Heading3"/>
      </w:pPr>
      <w:bookmarkStart w:id="2122" w:name="_TocAnchor203_2121"/>
      <w:r>
        <w:t xml:space="preserve">Е-22. Программная доступность открытой части интерфейса</w:t>
      </w:r>
      <w:bookmarkEnd w:id="2122"/>
    </w:p>
    <w:p>
      <w:pPr>
        <w:pStyle w:val="Compact"/>
        <w:numPr>
          <w:ilvl w:val="0"/>
          <w:numId w:val="1023"/>
        </w:numPr>
      </w:pPr>
      <w:r>
        <w:rPr>
          <w:b/>
          <w:bCs/>
        </w:rPr>
        <w:t xml:space="preserve">Применимость:</w:t>
      </w:r>
      <w:r>
        <w:t xml:space="preserve"> </w:t>
      </w:r>
      <w:r>
        <w:t xml:space="preserve">часть экранного интерфейса, которая не закрыта для программного доступа вспомогательных технологий.</w:t>
      </w:r>
    </w:p>
    <w:p>
      <w:pPr>
        <w:pStyle w:val="Compact"/>
        <w:numPr>
          <w:ilvl w:val="0"/>
          <w:numId w:val="1023"/>
        </w:numPr>
      </w:pPr>
      <w:r>
        <w:rPr>
          <w:b/>
          <w:bCs/>
        </w:rPr>
        <w:t xml:space="preserve">Предусловия:</w:t>
      </w:r>
      <w:r>
        <w:t xml:space="preserve"> </w:t>
      </w:r>
      <w:r>
        <w:t xml:space="preserve">документированная граница открытой части, программа экранного доступа и инспекция программного интерфейса; применим протокол Г-01.</w:t>
      </w:r>
    </w:p>
    <w:p>
      <w:pPr>
        <w:pStyle w:val="Compact"/>
        <w:numPr>
          <w:ilvl w:val="0"/>
          <w:numId w:val="1023"/>
        </w:numPr>
      </w:pPr>
      <w:r>
        <w:rPr>
          <w:b/>
          <w:bCs/>
        </w:rPr>
        <w:t xml:space="preserve">Шаги и параметры:</w:t>
      </w:r>
      <w:r>
        <w:t xml:space="preserve"> </w:t>
      </w:r>
      <w:r>
        <w:t xml:space="preserve">выполнить Г-01 и записать отдельный подрезультат каждого применимого пункта 11.5.2.5-11.5.2.17. Проверить: 11.5.2.5 - роль, состояния, границы, имя и описание каждого элемента; 11.5.2.6 - строку и столбец каждой ячейки и имеющиеся заголовки; 11.5.2.7 - текущее, минимальное и максимальное значения диапазона; 11.5.2.8 - связи подписи с обозначаемым элементом в обе стороны; 11.5.2.9 - связи с родительскими и дочерними элементами; 11.5.2.10 - содержимое, доступные или используемые атрибуты и границы текста; 11.5.2.11 - полный список доступных действий; 11.5.2.12 - программное выполнение каждого разрешенного действия с учетом ограничений безопасности; 11.5.2.13 - программное отслеживание фокуса, позиции ввода текста и атрибутов выделения; 11.5.2.14 - программное изменение этих свойств там, где это разрешено пользователю и безопасностью; 11.5.2.15 - уведомления об изменениях свойств из 11.5.2.5-11.5.2.11 и 11.5.2.13; 11.5.2.16 - программное изменение состояний и свойств, изменяемых пользователем, с учетом безопасности; 11.5.2.17 - программное изменение значений и текста методами ввода платформы там, где это доступно пользователю и разрешено безопасностью. Для 11.4.1.2 отдельно сопоставить имя, роль, состояние и значение до и после изменения.</w:t>
      </w:r>
    </w:p>
    <w:p>
      <w:pPr>
        <w:pStyle w:val="Compact"/>
        <w:numPr>
          <w:ilvl w:val="0"/>
          <w:numId w:val="1023"/>
        </w:numPr>
      </w:pPr>
      <w:r>
        <w:rPr>
          <w:b/>
          <w:bCs/>
        </w:rPr>
        <w:t xml:space="preserve">Прохождение/нарушение:</w:t>
      </w:r>
      <w:r>
        <w:t xml:space="preserve"> </w:t>
      </w:r>
      <w:r>
        <w:t xml:space="preserve">каждый пункт проходит, если все его применимые свойства определяются точно и своевременно, а разрешенные действия или изменения выполняются программно. Нарушение записывается по конкретному пункту при отсутствующем, ложном или устаревшем свойстве, неполном диапазоне, потерянной связи, недоступном разрешенном действии или изменении либо отсутствующем уведомлении. Общий итог «прохождение» допустим только после прохождения или обоснованного NA всех тринадцати подрезультатов.</w:t>
      </w:r>
    </w:p>
    <w:p>
      <w:pPr>
        <w:pStyle w:val="Compact"/>
        <w:numPr>
          <w:ilvl w:val="0"/>
          <w:numId w:val="1023"/>
        </w:numPr>
      </w:pPr>
      <w:r>
        <w:rPr>
          <w:b/>
          <w:bCs/>
        </w:rPr>
        <w:t xml:space="preserve">NA/не проверено:</w:t>
      </w:r>
      <w:r>
        <w:t xml:space="preserve"> </w:t>
      </w:r>
      <w:r>
        <w:t xml:space="preserve">NA всей карточки допустим только при полностью закрытой функциональности. Для отдельных пунктов NA фиксируется при отсутствии таблиц, диапазонов значений, подписей, иерархии, текста, действий или изменяемых свойств; ограничения безопасности дают NA только соответствующему действию или изменению с документированным основанием. Не проверено без документированной границы, программной инспекции или доказательства хотя бы одного применимого свойства.</w:t>
      </w:r>
    </w:p>
    <w:p>
      <w:pPr>
        <w:pStyle w:val="Compact"/>
        <w:numPr>
          <w:ilvl w:val="0"/>
          <w:numId w:val="1023"/>
        </w:numPr>
      </w:pPr>
      <w:r>
        <w:rPr>
          <w:b/>
          <w:bCs/>
        </w:rPr>
        <w:t xml:space="preserve">Минимальное доказательство:</w:t>
      </w:r>
      <w:r>
        <w:t xml:space="preserve"> </w:t>
      </w:r>
      <w:r>
        <w:t xml:space="preserve">таблица 11.5.2.5-11.5.2.17 с применимостью и результатом каждого пункта, фрагменты программной структуры до и после действий, текущие и предельные значения, текстовые атрибуты и границы, фокус, позиция ввода, выделение, журнал событий, экранное состояние и результат программы экранного доступа.</w:t>
      </w:r>
    </w:p>
    <w:p>
      <w:pPr>
        <w:pStyle w:val="Compact"/>
        <w:numPr>
          <w:ilvl w:val="0"/>
          <w:numId w:val="1023"/>
        </w:numPr>
      </w:pPr>
      <w:r>
        <w:rPr>
          <w:b/>
          <w:bCs/>
        </w:rPr>
        <w:t xml:space="preserve">Нормативная ссылка:</w:t>
      </w:r>
      <w:r>
        <w:t xml:space="preserve"> </w:t>
      </w:r>
      <w:hyperlink r:id="rId19">
        <w:r>
          <w:rPr>
            <w:rStyle w:val="Hyperlink"/>
          </w:rPr>
          <w:t xml:space="preserve">EN 301 549 V4.1.1, 11.4.1.2 и 11.5.2.5-11.5.2.17</w:t>
        </w:r>
      </w:hyperlink>
      <w:r>
        <w:t xml:space="preserve">.</w:t>
      </w:r>
    </w:p>
    <w:p>
      <w:pPr>
        <w:pStyle w:val="Compact"/>
        <w:numPr>
          <w:ilvl w:val="0"/>
          <w:numId w:val="1023"/>
        </w:numPr>
      </w:pPr>
      <w:r>
        <w:rPr>
          <w:b/>
          <w:bCs/>
        </w:rPr>
        <w:t xml:space="preserve">Граница проекта:</w:t>
      </w:r>
      <w:r>
        <w:t xml:space="preserve"> </w:t>
      </w:r>
      <w:r>
        <w:t xml:space="preserve">карточка не применяется к закрытой части только на основании предположения; граница должна быть установлена по Е-01.</w:t>
      </w:r>
    </w:p>
    <w:bookmarkEnd w:id="46"/>
    <w:bookmarkEnd w:id="47"/>
    <w:sectPr>
      <w:footerReference r:id="rId9" w:type="default"/>
      <w:footnotePr>
        <w:numRestart w:val="eachSect"/>
      </w:footnotePr>
      <w:pgSz w:h="16838" w:w="11906"/>
      <w:pgMar w:bottom="1134" w:footer="709" w:gutter="0" w:header="709"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20"/>
      </w:rPr>
      <w:fldChar w:fldCharType="begin"/>
    </w:r>
    <w:r>
      <w:rPr>
        <w:rFonts w:ascii="Arial" w:hAnsi="Arial"/>
        <w:sz w:val="20"/>
      </w:rPr>
      <w:instrText xml:space="preserve"> PAGE  \* MERGEFORMAT </w:instrText>
    </w:r>
    <w:r>
      <w:rPr>
        <w:rFonts w:ascii="Arial" w:hAnsi="Arial"/>
        <w:sz w:val="20"/>
      </w:rPr>
      <w:fldChar w:fldCharType="separate"/>
    </w:r>
    <w:r>
      <w:rPr>
        <w:rFonts w:ascii="Arial" w:hAnsi="Arial"/>
        <w:sz w:val="20"/>
      </w:rPr>
      <w:t>1</w:t>
    </w:r>
    <w:r>
      <w:rPr>
        <w:rFonts w:ascii="Arial" w:hAnsi="Arial"/>
        <w:sz w:val="20"/>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cs="Arial" w:eastAsia="Arial" w:hAnsi="Arial"/>
        <w:sz w:val="24"/>
        <w:szCs w:val="24"/>
        <w:lang w:bidi="ar-SA" w:eastAsia="ru-RU" w:val="ru-RU"/>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Arial" w:cs="Arial" w:eastAsia="Arial" w:hAnsi="Arial"/>
      <w:sz w:val="22"/>
      <w:lang w:bidi="ar-SA" w:eastAsia="ru-RU" w:val="ru-RU"/>
    </w:rPr>
  </w:style>
  <w:style w:styleId="BodyText" w:type="paragraph">
    <w:name w:val="Body Text"/>
    <w:basedOn w:val="Normal"/>
    <w:link w:val="BodyTextChar"/>
    <w:qFormat/>
    <w:pPr>
      <w:spacing w:after="120" w:before="180" w:line="276" w:lineRule="auto"/>
    </w:pPr>
    <w:rPr>
      <w:rFonts w:ascii="Arial" w:cs="Arial" w:eastAsia="Arial" w:hAnsi="Arial"/>
      <w:sz w:val="22"/>
      <w:lang w:bidi="ar-SA" w:eastAsia="ru-RU" w:val="ru-RU"/>
    </w:rPr>
  </w:style>
  <w:style w:customStyle="1" w:styleId="FirstParagraph" w:type="paragraph">
    <w:name w:val="First Paragraph"/>
    <w:basedOn w:val="BodyText"/>
    <w:next w:val="BodyText"/>
    <w:qFormat/>
    <w:pPr>
      <w:spacing w:after="120" w:line="276" w:lineRule="auto"/>
    </w:pPr>
    <w:rPr>
      <w:rFonts w:ascii="Arial" w:cs="Arial" w:eastAsia="Arial" w:hAnsi="Arial"/>
      <w:sz w:val="22"/>
      <w:lang w:bidi="ar-SA" w:eastAsia="ru-RU" w:val="ru-RU"/>
    </w:rPr>
  </w:style>
  <w:style w:customStyle="1" w:styleId="Compact" w:type="paragraph">
    <w:name w:val="Compact"/>
    <w:basedOn w:val="BodyText"/>
    <w:qFormat/>
    <w:pPr>
      <w:spacing w:after="120" w:before="36" w:line="276" w:lineRule="auto"/>
    </w:pPr>
    <w:rPr>
      <w:rFonts w:ascii="Arial" w:cs="Arial" w:eastAsia="Arial" w:hAnsi="Arial"/>
      <w:sz w:val="22"/>
      <w:lang w:bidi="ar-SA" w:eastAsia="ru-RU" w:val="ru-RU"/>
    </w:rPr>
  </w:style>
  <w:style w:styleId="Title" w:type="paragraph">
    <w:name w:val="Title"/>
    <w:basedOn w:val="Normal"/>
    <w:next w:val="BodyText"/>
    <w:link w:val="TitleChar"/>
    <w:uiPriority w:val="10"/>
    <w:qFormat/>
    <w:rsid w:val="00A10FD9"/>
    <w:pPr>
      <w:spacing w:after="120" w:line="240" w:lineRule="auto"/>
      <w:contextualSpacing/>
      <w:jc w:val="center"/>
    </w:pPr>
    <w:rPr>
      <w:rFonts w:ascii="Arial" w:cs="Arial" w:eastAsia="Arial" w:hAnsi="Arial"/>
      <w:b/>
      <w:color w:val="12233B"/>
      <w:sz w:val="52"/>
      <w:szCs w:val="56"/>
      <w:lang w:bidi="ar-SA" w:eastAsia="ru-RU" w:val="ru-RU"/>
    </w:rPr>
  </w:style>
  <w:style w:customStyle="1" w:styleId="TitleChar" w:type="character">
    <w:name w:val="Title Char"/>
    <w:basedOn w:val="DefaultParagraphFont"/>
    <w:link w:val="Title"/>
    <w:uiPriority w:val="10"/>
    <w:rsid w:val="00A10FD9"/>
    <w:rPr>
      <w:rFonts/>
      <w:sz w:val="56"/>
      <w:szCs w:val="56"/>
    </w:rPr>
  </w:style>
  <w:style w:styleId="Subtitle" w:type="paragraph">
    <w:name w:val="Subtitle"/>
    <w:basedOn w:val="Title"/>
    <w:next w:val="BodyText"/>
    <w:link w:val="SubtitleChar"/>
    <w:uiPriority w:val="11"/>
    <w:qFormat/>
    <w:rsid w:val="00A10FD9"/>
    <w:pPr>
      <w:numPr>
        <w:ilvl w:val="1"/>
      </w:numPr>
      <w:spacing w:after="40"/>
      <w:jc w:val="center"/>
    </w:pPr>
    <w:rPr>
      <w:rFonts w:ascii="Arial" w:cs="Arial" w:eastAsia="Arial" w:hAnsi="Arial"/>
      <w:b w:val="0"/>
      <w:color w:val="12233B"/>
      <w:spacing w:val="15"/>
      <w:sz w:val="28"/>
      <w:szCs w:val="28"/>
      <w:lang w:bidi="ar-SA" w:eastAsia="ru-RU" w:val="ru-RU"/>
    </w:rPr>
  </w:style>
  <w:style w:customStyle="1" w:styleId="SubtitleChar" w:type="character">
    <w:name w:val="Subtitle Char"/>
    <w:basedOn w:val="DefaultParagraphFont"/>
    <w:link w:val="Subtitle"/>
    <w:uiPriority w:val="11"/>
    <w:rsid w:val="00A10FD9"/>
    <w:rPr>
      <w:rFonts/>
      <w:color w:themeColor="text1" w:themeTint="A6" w:val="595959"/>
      <w:spacing w:val="15"/>
      <w:sz w:val="28"/>
      <w:szCs w:val="28"/>
    </w:rPr>
  </w:style>
  <w:style w:customStyle="1" w:styleId="Author" w:type="paragraph">
    <w:name w:val="Author"/>
    <w:basedOn w:val="Title"/>
    <w:next w:val="BodyText"/>
    <w:qFormat/>
    <w:pPr>
      <w:keepNext/>
      <w:keepLines/>
      <w:jc w:val="center"/>
    </w:pPr>
    <w:rPr>
      <w:rFonts w:ascii="Arial" w:cs="Arial" w:eastAsia="Arial" w:hAnsi="Arial"/>
      <w:sz w:val="24"/>
      <w:szCs w:val="24"/>
      <w:lang w:bidi="ar-SA" w:eastAsia="ru-RU" w:val="ru-RU"/>
    </w:rPr>
  </w:style>
  <w:style w:styleId="Date" w:type="paragraph">
    <w:name w:val="Date"/>
    <w:basedOn w:val="Title"/>
    <w:next w:val="BodyText"/>
    <w:qFormat/>
    <w:pPr>
      <w:keepNext/>
      <w:keepLines/>
      <w:spacing w:after="480"/>
      <w:jc w:val="center"/>
    </w:pPr>
    <w:rPr>
      <w:rFonts w:ascii="Arial" w:cs="Arial" w:eastAsia="Arial" w:hAnsi="Arial"/>
      <w:b w:val="0"/>
      <w:color w:val="404040"/>
      <w:sz w:val="24"/>
      <w:szCs w:val="24"/>
      <w:lang w:bidi="ar-SA" w:eastAsia="ru-RU" w:val="ru-RU"/>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120" w:before="240" w:line="276" w:lineRule="auto"/>
      <w:outlineLvl w:val="0"/>
    </w:pPr>
    <w:rPr>
      <w:rFonts w:ascii="Arial" w:cs="Arial" w:eastAsia="Arial" w:hAnsi="Arial"/>
      <w:b/>
      <w:color w:val="12233B"/>
      <w:sz w:val="32"/>
      <w:szCs w:val="40"/>
      <w:lang w:bidi="ar-SA" w:eastAsia="ru-RU" w:val="ru-RU"/>
    </w:rPr>
  </w:style>
  <w:style w:styleId="Heading2" w:type="paragraph">
    <w:name w:val="heading 2"/>
    <w:basedOn w:val="Normal"/>
    <w:next w:val="BodyText"/>
    <w:link w:val="Heading2Char"/>
    <w:uiPriority w:val="9"/>
    <w:semiHidden/>
    <w:unhideWhenUsed/>
    <w:qFormat/>
    <w:rsid w:val="00A10FD9"/>
    <w:pPr>
      <w:keepNext/>
      <w:keepLines/>
      <w:spacing w:after="120" w:before="240" w:line="276" w:lineRule="auto"/>
      <w:outlineLvl w:val="1"/>
    </w:pPr>
    <w:rPr>
      <w:rFonts w:ascii="Arial" w:cs="Arial" w:eastAsia="Arial" w:hAnsi="Arial"/>
      <w:b/>
      <w:color w:val="12233B"/>
      <w:sz w:val="28"/>
      <w:szCs w:val="32"/>
      <w:lang w:bidi="ar-SA" w:eastAsia="ru-RU" w:val="ru-RU"/>
    </w:rPr>
  </w:style>
  <w:style w:styleId="Heading3" w:type="paragraph">
    <w:name w:val="heading 3"/>
    <w:basedOn w:val="Normal"/>
    <w:next w:val="BodyText"/>
    <w:link w:val="Heading3Char"/>
    <w:uiPriority w:val="9"/>
    <w:semiHidden/>
    <w:unhideWhenUsed/>
    <w:qFormat/>
    <w:rsid w:val="00A10FD9"/>
    <w:pPr>
      <w:keepNext/>
      <w:keepLines/>
      <w:spacing w:after="120" w:before="240" w:line="276" w:lineRule="auto"/>
      <w:outlineLvl w:val="2"/>
    </w:pPr>
    <w:rPr>
      <w:rFonts w:ascii="Arial" w:cs="Arial" w:eastAsia="Arial" w:hAnsi="Arial"/>
      <w:b/>
      <w:color w:val="12233B"/>
      <w:sz w:val="24"/>
      <w:szCs w:val="28"/>
      <w:lang w:bidi="ar-SA" w:eastAsia="ru-RU" w:val="ru-RU"/>
    </w:rPr>
  </w:style>
  <w:style w:styleId="Heading4" w:type="paragraph">
    <w:name w:val="heading 4"/>
    <w:basedOn w:val="Normal"/>
    <w:next w:val="BodyText"/>
    <w:link w:val="Heading4Char"/>
    <w:uiPriority w:val="9"/>
    <w:semiHidden/>
    <w:unhideWhenUsed/>
    <w:qFormat/>
    <w:rsid w:val="00A10FD9"/>
    <w:pPr>
      <w:keepNext/>
      <w:keepLines/>
      <w:spacing w:after="120" w:before="200" w:line="276" w:lineRule="auto"/>
      <w:outlineLvl w:val="3"/>
    </w:pPr>
    <w:rPr>
      <w:rFonts w:ascii="Arial" w:cs="Arial" w:eastAsia="Arial" w:hAnsi="Arial"/>
      <w:b/>
      <w:i/>
      <w:iCs/>
      <w:color w:val="12233B"/>
      <w:sz w:val="24"/>
      <w:lang w:bidi="ar-SA" w:eastAsia="ru-RU" w:val="ru-RU"/>
    </w:rPr>
  </w:style>
  <w:style w:styleId="Heading5" w:type="paragraph">
    <w:name w:val="heading 5"/>
    <w:basedOn w:val="Normal"/>
    <w:next w:val="BodyText"/>
    <w:link w:val="Heading5Char"/>
    <w:uiPriority w:val="9"/>
    <w:semiHidden/>
    <w:unhideWhenUsed/>
    <w:qFormat/>
    <w:rsid w:val="00A10FD9"/>
    <w:pPr>
      <w:keepNext/>
      <w:keepLines/>
      <w:spacing w:after="120" w:before="200" w:line="276" w:lineRule="auto"/>
      <w:outlineLvl w:val="4"/>
    </w:pPr>
    <w:rPr>
      <w:rFonts w:ascii="Arial" w:cs="Arial" w:eastAsia="Arial" w:hAnsi="Arial"/>
      <w:b/>
      <w:color w:val="12233B"/>
      <w:sz w:val="22"/>
      <w:lang w:bidi="ar-SA" w:eastAsia="ru-RU" w:val="ru-RU"/>
    </w:rPr>
  </w:style>
  <w:style w:styleId="Heading6" w:type="paragraph">
    <w:name w:val="heading 6"/>
    <w:basedOn w:val="Normal"/>
    <w:next w:val="BodyText"/>
    <w:link w:val="Heading6Char"/>
    <w:uiPriority w:val="9"/>
    <w:semiHidden/>
    <w:unhideWhenUsed/>
    <w:qFormat/>
    <w:rsid w:val="00A10FD9"/>
    <w:pPr>
      <w:keepNext/>
      <w:keepLines/>
      <w:spacing w:after="120" w:before="200" w:line="276" w:lineRule="auto"/>
      <w:outlineLvl w:val="5"/>
    </w:pPr>
    <w:rPr>
      <w:rFonts w:ascii="Arial" w:cs="Arial" w:eastAsia="Arial" w:hAnsi="Arial"/>
      <w:b/>
      <w:i/>
      <w:iCs/>
      <w:color w:val="12233B"/>
      <w:sz w:val="22"/>
      <w:lang w:bidi="ar-SA" w:eastAsia="ru-RU" w:val="ru-RU"/>
    </w:rPr>
  </w:style>
  <w:style w:styleId="Heading7" w:type="paragraph">
    <w:name w:val="heading 7"/>
    <w:basedOn w:val="Normal"/>
    <w:next w:val="BodyText"/>
    <w:link w:val="Heading7Char"/>
    <w:uiPriority w:val="9"/>
    <w:semiHidden/>
    <w:unhideWhenUsed/>
    <w:qFormat/>
    <w:rsid w:val="00A10FD9"/>
    <w:pPr>
      <w:keepNext/>
      <w:keepLines/>
      <w:spacing w:after="120" w:before="200" w:line="276" w:lineRule="auto"/>
      <w:outlineLvl w:val="6"/>
    </w:pPr>
    <w:rPr>
      <w:rFonts w:ascii="Arial" w:cs="Arial" w:eastAsia="Arial" w:hAnsi="Arial"/>
      <w:b/>
      <w:color w:val="12233B"/>
      <w:sz w:val="22"/>
      <w:lang w:bidi="ar-SA" w:eastAsia="ru-RU" w:val="ru-RU"/>
    </w:rPr>
  </w:style>
  <w:style w:styleId="Heading8" w:type="paragraph">
    <w:name w:val="heading 8"/>
    <w:basedOn w:val="Normal"/>
    <w:next w:val="BodyText"/>
    <w:link w:val="Heading8Char"/>
    <w:uiPriority w:val="9"/>
    <w:semiHidden/>
    <w:unhideWhenUsed/>
    <w:qFormat/>
    <w:rsid w:val="00A10FD9"/>
    <w:pPr>
      <w:keepNext/>
      <w:keepLines/>
      <w:spacing w:after="120" w:before="200" w:line="276" w:lineRule="auto"/>
      <w:outlineLvl w:val="7"/>
    </w:pPr>
    <w:rPr>
      <w:rFonts w:ascii="Arial" w:cs="Arial" w:eastAsia="Arial" w:hAnsi="Arial"/>
      <w:b/>
      <w:i/>
      <w:iCs/>
      <w:color w:val="12233B"/>
      <w:sz w:val="22"/>
      <w:lang w:bidi="ar-SA" w:eastAsia="ru-RU" w:val="ru-RU"/>
    </w:rPr>
  </w:style>
  <w:style w:styleId="Heading9" w:type="paragraph">
    <w:name w:val="heading 9"/>
    <w:basedOn w:val="Normal"/>
    <w:next w:val="BodyText"/>
    <w:link w:val="Heading9Char"/>
    <w:uiPriority w:val="9"/>
    <w:semiHidden/>
    <w:unhideWhenUsed/>
    <w:qFormat/>
    <w:rsid w:val="00A10FD9"/>
    <w:pPr>
      <w:keepNext/>
      <w:keepLines/>
      <w:spacing w:after="120" w:before="200" w:line="276" w:lineRule="auto"/>
      <w:outlineLvl w:val="8"/>
    </w:pPr>
    <w:rPr>
      <w:rFonts w:ascii="Arial" w:cs="Arial" w:eastAsia="Arial" w:hAnsi="Arial"/>
      <w:b/>
      <w:color w:val="12233B"/>
      <w:sz w:val="22"/>
      <w:lang w:bidi="ar-SA" w:eastAsia="ru-RU" w:val="ru-RU"/>
    </w:rPr>
  </w:style>
  <w:style w:customStyle="1" w:styleId="Heading1Char" w:type="character">
    <w:name w:val="Heading 1 Char"/>
    <w:basedOn w:val="DefaultParagraphFont"/>
    <w:link w:val="Heading1"/>
    <w:uiPriority w:val="9"/>
    <w:rsid w:val="00A10FD9"/>
    <w:rPr>
      <w:rFonts/>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i/>
      <w:iCs/>
      <w:color w:themeColor="accent1" w:themeShade="BF" w:val="0F4761"/>
    </w:rPr>
  </w:style>
  <w:style w:customStyle="1" w:styleId="Heading5Char" w:type="character">
    <w:name w:val="Heading 5 Char"/>
    <w:basedOn w:val="DefaultParagraphFont"/>
    <w:link w:val="Heading5"/>
    <w:uiPriority w:val="9"/>
    <w:semiHidden/>
    <w:rsid w:val="00A10FD9"/>
    <w:rPr>
      <w:rFonts/>
      <w:color w:themeColor="accent1" w:themeShade="BF" w:val="0F4761"/>
    </w:rPr>
  </w:style>
  <w:style w:customStyle="1" w:styleId="Heading6Char" w:type="character">
    <w:name w:val="Heading 6 Char"/>
    <w:basedOn w:val="DefaultParagraphFont"/>
    <w:link w:val="Heading6"/>
    <w:uiPriority w:val="9"/>
    <w:semiHidden/>
    <w:rsid w:val="00A10FD9"/>
    <w:rPr>
      <w:rFonts/>
      <w:i/>
      <w:iCs/>
      <w:color w:themeColor="text1" w:themeTint="A6" w:val="595959"/>
    </w:rPr>
  </w:style>
  <w:style w:customStyle="1" w:styleId="Heading7Char" w:type="character">
    <w:name w:val="Heading 7 Char"/>
    <w:basedOn w:val="DefaultParagraphFont"/>
    <w:link w:val="Heading7"/>
    <w:uiPriority w:val="9"/>
    <w:semiHidden/>
    <w:rsid w:val="00A10FD9"/>
    <w:rPr>
      <w:rFonts/>
      <w:color w:themeColor="text1" w:themeTint="A6" w:val="595959"/>
    </w:rPr>
  </w:style>
  <w:style w:customStyle="1" w:styleId="Heading8Char" w:type="character">
    <w:name w:val="Heading 8 Char"/>
    <w:basedOn w:val="DefaultParagraphFont"/>
    <w:link w:val="Heading8"/>
    <w:uiPriority w:val="9"/>
    <w:semiHidden/>
    <w:rsid w:val="00A10FD9"/>
    <w:rPr>
      <w:rFonts/>
      <w:i/>
      <w:iCs/>
      <w:color w:themeColor="text1" w:themeTint="D8" w:val="272727"/>
    </w:rPr>
  </w:style>
  <w:style w:customStyle="1" w:styleId="Heading9Char" w:type="character">
    <w:name w:val="Heading 9 Char"/>
    <w:basedOn w:val="DefaultParagraphFont"/>
    <w:link w:val="Heading9"/>
    <w:uiPriority w:val="9"/>
    <w:semiHidden/>
    <w:rsid w:val="00A10FD9"/>
    <w:rPr>
      <w:rFonts/>
      <w:color w:themeColor="text1" w:themeTint="D8" w:val="272727"/>
    </w:rPr>
  </w:style>
  <w:style w:styleId="BlockText" w:type="paragraph">
    <w:name w:val="Block Text"/>
    <w:basedOn w:val="BodyText"/>
    <w:next w:val="BodyText"/>
    <w:uiPriority w:val="9"/>
    <w:unhideWhenUsed/>
    <w:qFormat/>
    <w:pPr>
      <w:spacing w:after="120" w:before="100" w:line="276" w:lineRule="auto"/>
      <w:ind w:firstLine="0" w:left="480" w:right="480"/>
    </w:pPr>
    <w:rPr>
      <w:rFonts w:ascii="Arial" w:cs="Arial" w:eastAsia="Arial" w:hAnsi="Arial"/>
      <w:sz w:val="22"/>
      <w:lang w:bidi="ar-SA" w:eastAsia="ru-RU" w:val="ru-RU"/>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pPr>
      <w:spacing w:after="60" w:line="276" w:lineRule="auto"/>
    </w:pPr>
    <w:rPr>
      <w:rFonts w:ascii="Arial" w:cs="Arial" w:eastAsia="Arial" w:hAnsi="Arial"/>
      <w:sz w:val="22"/>
      <w:lang w:bidi="ar-SA" w:eastAsia="ru-RU" w:val="ru-RU"/>
    </w:rPr>
    <w:tblPr>
      <w:tblInd w:type="dxa" w:w="0"/>
      <w:tblBorders>
        <w:top w:color="999999" w:space="0" w:sz="4" w:val="single"/>
        <w:left w:color="999999" w:space="0" w:sz="4" w:val="single"/>
        <w:bottom w:color="999999" w:space="0" w:sz="4" w:val="single"/>
        <w:right w:color="999999" w:space="0" w:sz="4" w:val="single"/>
        <w:insideH w:color="999999" w:space="0" w:sz="4" w:val="single"/>
        <w:insideV w:color="999999" w:space="0" w:sz="4" w:val="single"/>
      </w:tblBorders>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120" w:line="276" w:lineRule="auto"/>
    </w:pPr>
    <w:rPr>
      <w:rFonts w:ascii="Arial" w:cs="Arial" w:eastAsia="Arial" w:hAnsi="Arial"/>
      <w:b/>
      <w:sz w:val="22"/>
      <w:lang w:bidi="ar-SA" w:eastAsia="ru-RU" w:val="ru-RU"/>
    </w:rPr>
  </w:style>
  <w:style w:customStyle="1" w:styleId="Definition" w:type="paragraph">
    <w:name w:val="Definition"/>
    <w:basedOn w:val="Normal"/>
    <w:pPr>
      <w:spacing w:after="120" w:line="276" w:lineRule="auto"/>
    </w:pPr>
    <w:rPr>
      <w:rFonts w:ascii="Arial" w:cs="Arial" w:eastAsia="Arial" w:hAnsi="Arial"/>
      <w:sz w:val="22"/>
      <w:lang w:bidi="ar-SA" w:eastAsia="ru-RU" w:val="ru-RU"/>
    </w:rPr>
  </w:style>
  <w:style w:styleId="Caption" w:type="paragraph">
    <w:name w:val="Caption"/>
    <w:basedOn w:val="Normal"/>
    <w:link w:val="BodyTextChar"/>
    <w:pPr>
      <w:spacing w:after="120" w:before="0" w:line="276" w:lineRule="auto"/>
    </w:pPr>
    <w:rPr>
      <w:rFonts w:ascii="Arial" w:cs="Arial" w:eastAsia="Arial" w:hAnsi="Arial"/>
      <w:i/>
      <w:sz w:val="22"/>
      <w:lang w:bidi="ar-SA" w:eastAsia="ru-RU" w:val="ru-RU"/>
    </w:rPr>
  </w:style>
  <w:style w:customStyle="1" w:styleId="TableCaption" w:type="paragraph">
    <w:name w:val="Table Caption"/>
    <w:basedOn w:val="Caption"/>
    <w:pPr>
      <w:keepNext/>
      <w:spacing w:after="120" w:line="276" w:lineRule="auto"/>
    </w:pPr>
    <w:rPr>
      <w:rFonts w:ascii="Arial" w:cs="Arial" w:eastAsia="Arial" w:hAnsi="Arial"/>
      <w:sz w:val="22"/>
      <w:lang w:bidi="ar-SA" w:eastAsia="ru-RU" w:val="ru-RU"/>
    </w:rPr>
  </w:style>
  <w:style w:customStyle="1" w:styleId="ImageCaption" w:type="paragraph">
    <w:name w:val="Image Caption"/>
    <w:basedOn w:val="Caption"/>
    <w:pPr>
      <w:spacing w:after="120" w:line="276" w:lineRule="auto"/>
    </w:pPr>
    <w:rPr>
      <w:rFonts w:ascii="Arial" w:cs="Arial" w:eastAsia="Arial" w:hAnsi="Arial"/>
      <w:sz w:val="22"/>
      <w:lang w:bidi="ar-SA" w:eastAsia="ru-RU" w:val="ru-RU"/>
    </w:rPr>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rFonts w:ascii="Arial" w:cs="Arial" w:eastAsia="Arial" w:hAnsi="Arial"/>
      <w:color w:val="004A8F"/>
      <w:sz w:val="22"/>
      <w:lang w:bidi="ar-SA" w:eastAsia="ru-RU" w:val="ru-RU"/>
    </w:rPr>
  </w:style>
  <w:style w:styleId="TOCHeading" w:type="paragraph">
    <w:name w:val="TOC Heading"/>
    <w:basedOn w:val="Heading1"/>
    <w:next w:val="BodyText"/>
    <w:uiPriority w:val="39"/>
    <w:unhideWhenUsed/>
    <w:qFormat/>
    <w:pPr>
      <w:spacing w:before="240" w:line="259" w:lineRule="auto"/>
      <w:outlineLvl w:val="9"/>
    </w:pPr>
    <w:rPr>
      <w:rFonts w:ascii="Arial" w:cs="Arial" w:eastAsia="Arial" w:hAnsi="Arial"/>
      <w:b/>
      <w:bCs w:val="0"/>
      <w:color w:val="12233B"/>
      <w:sz w:val="28"/>
      <w:lang w:bidi="ar-SA" w:eastAsia="ru-RU" w:val="ru-RU"/>
    </w:rPr>
  </w:style>
  <w:style w:customStyle="1" w:styleId="TOC1" w:type="paragraph">
    <w:name w:val="TOC 1"/>
    <w:basedOn w:val="Normal"/>
    <w:pPr>
      <w:tabs>
        <w:tab w:leader="dot" w:pos="9638" w:val="right"/>
      </w:tabs>
      <w:spacing w:after="40" w:before="0" w:line="276" w:lineRule="auto"/>
      <w:ind w:left="0"/>
    </w:pPr>
    <w:rPr>
      <w:rFonts w:ascii="Arial" w:cs="Arial" w:eastAsia="Arial" w:hAnsi="Arial"/>
      <w:b/>
      <w:sz w:val="22"/>
      <w:lang w:bidi="ar-SA" w:eastAsia="ru-RU" w:val="ru-RU"/>
    </w:rPr>
  </w:style>
  <w:style w:customStyle="1" w:styleId="TOC2" w:type="paragraph">
    <w:name w:val="TOC 2"/>
    <w:basedOn w:val="Normal"/>
    <w:pPr>
      <w:tabs>
        <w:tab w:leader="dot" w:pos="9638" w:val="right"/>
      </w:tabs>
      <w:spacing w:after="40" w:before="0" w:line="276" w:lineRule="auto"/>
      <w:ind w:left="283"/>
    </w:pPr>
    <w:rPr>
      <w:rFonts w:ascii="Arial" w:cs="Arial" w:eastAsia="Arial" w:hAnsi="Arial"/>
      <w:b w:val="0"/>
      <w:sz w:val="22"/>
      <w:lang w:bidi="ar-SA" w:eastAsia="ru-RU" w:val="ru-RU"/>
    </w:rPr>
  </w:style>
  <w:style w:customStyle="1" w:styleId="TOC3" w:type="paragraph">
    <w:name w:val="TOC 3"/>
    <w:basedOn w:val="Normal"/>
    <w:pPr>
      <w:tabs>
        <w:tab w:leader="dot" w:pos="9638" w:val="right"/>
      </w:tabs>
      <w:spacing w:after="40" w:before="0" w:line="276" w:lineRule="auto"/>
      <w:ind w:left="567"/>
    </w:pPr>
    <w:rPr>
      <w:rFonts w:ascii="Arial" w:cs="Arial" w:eastAsia="Arial" w:hAnsi="Arial"/>
      <w:b w:val="0"/>
      <w:sz w:val="22"/>
      <w:lang w:bidi="ar-SA" w:eastAsia="ru-RU" w:val="ru-RU"/>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7" Type="http://schemas.openxmlformats.org/officeDocument/2006/relationships/numbering" Target="numbering.xml"/><Relationship Id="rId16" Type="http://schemas.openxmlformats.org/officeDocument/2006/relationships/styles" Target="styles.xml"/><Relationship Id="rId15" Type="http://schemas.openxmlformats.org/officeDocument/2006/relationships/settings" Target="settings.xml"/><Relationship Id="rId14" Type="http://schemas.openxmlformats.org/officeDocument/2006/relationships/webSettings" Target="webSettings.xml"/><Relationship Id="rId13" Type="http://schemas.openxmlformats.org/officeDocument/2006/relationships/fontTable" Target="fontTable.xml"/><Relationship Id="rId12" Type="http://schemas.openxmlformats.org/officeDocument/2006/relationships/theme" Target="theme/theme1.xml"/><Relationship Id="rId11" Type="http://schemas.openxmlformats.org/officeDocument/2006/relationships/footnotes" Target="footnotes.xml"/><Relationship Id="rId10" Type="http://schemas.openxmlformats.org/officeDocument/2006/relationships/comments" Target="comments.xml"/><Relationship Id="rId9" Type="http://schemas.openxmlformats.org/officeDocument/2006/relationships/footer" Target="footer1.xml"/><Relationship Id="rId19" Type="http://schemas.openxmlformats.org/officeDocument/2006/relationships/hyperlink" Target="https://www.etsi.org/deliver/etsi_en/301500_301599/301549/04.01.01_60/en_301549v040101p.pdf" TargetMode="External"/><Relationship Id="rId30" Type="http://schemas.openxmlformats.org/officeDocument/2006/relationships/hyperlink" Target="https://www.w3.org/TR/WCAG22/#contrast-minimum" TargetMode="External"/><Relationship Id="rId33" Type="http://schemas.openxmlformats.org/officeDocument/2006/relationships/hyperlink" Target="https://www.w3.org/TR/WCAG22/#non-text-contrast" TargetMode="External"/><Relationship Id="rId29" Type="http://schemas.openxmlformats.org/officeDocument/2006/relationships/hyperlink" Target="https://www.w3.org/TR/WCAG22/#orientation" TargetMode="External"/><Relationship Id="rId32" Type="http://schemas.openxmlformats.org/officeDocument/2006/relationships/hyperlink" Target="https://www.w3.org/TR/WCAG22/#reflow" TargetMode="External"/><Relationship Id="rId31" Type="http://schemas.openxmlformats.org/officeDocument/2006/relationships/hyperlink" Target="https://www.w3.org/TR/WCAG22/#resize-text" TargetMode="External"/></Relationships>
</file>

<file path=word/_rels/footnotes.xml.rels><?xml version='1.0' encoding='UTF-8' standalone='yes'?>
<Relationships xmlns="http://schemas.openxmlformats.org/package/2006/relationships"><Relationship Id="rId19" Type="http://schemas.openxmlformats.org/officeDocument/2006/relationships/hyperlink" Target="https://www.etsi.org/deliver/etsi_en/301500_301599/301549/04.01.01_60/en_301549v040101p.pdf" TargetMode="External"/><Relationship Id="rId30" Type="http://schemas.openxmlformats.org/officeDocument/2006/relationships/hyperlink" Target="https://www.w3.org/TR/WCAG22/#contrast-minimum" TargetMode="External"/><Relationship Id="rId33" Type="http://schemas.openxmlformats.org/officeDocument/2006/relationships/hyperlink" Target="https://www.w3.org/TR/WCAG22/#non-text-contrast" TargetMode="External"/><Relationship Id="rId29" Type="http://schemas.openxmlformats.org/officeDocument/2006/relationships/hyperlink" Target="https://www.w3.org/TR/WCAG22/#orientation" TargetMode="External"/><Relationship Id="rId32" Type="http://schemas.openxmlformats.org/officeDocument/2006/relationships/hyperlink" Target="https://www.w3.org/TR/WCAG22/#reflow" TargetMode="External"/><Relationship Id="rId31" Type="http://schemas.openxmlformats.org/officeDocument/2006/relationships/hyperlink" Target="https://www.w3.org/TR/WCAG22/#resize-tex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0.1</AppVersion>
  <LinksUpToDate>false</LinksUpToDate>
  <Application>Проект «Доступно»</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Протоколы проверок терминалов самообслуживания и киосков</dc:title>
  <dc:creator/>
  <dc:language>ru-RU</dc:language>
  <cp:keywords/>
  <dcterms:created xsi:type="dcterms:W3CDTF">2026-09-24T10:52:49Z</dcterms:created>
  <dcterms:modified xsi:type="dcterms:W3CDTF">2026-09-24T10:52:49Z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Сентябрь 2026 года</vt:lpwstr>
  </property>
  <property fmtid="{D5CDD505-2E9C-101B-9397-08002B2CF9AE}" pid="3" name="subtitle">
    <vt:lpwstr>Проект для обсуждения. Редакция 0.1</vt:lpwstr>
  </property>
</Properties>
</file>