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Протоколы проверок цифровых сервисов</w:t>
      </w:r>
    </w:p>
    <w:p>
      <w:pPr>
        <w:pStyle w:val="Subtitle"/>
      </w:pPr>
      <w:r>
        <w:t xml:space="preserve">Проект для обсуждения. Редакция 0.1</w:t>
      </w:r>
    </w:p>
    <w:p>
      <w:pPr>
        <w:pStyle w:val="Date"/>
      </w:pPr>
      <w:r>
        <w:t xml:space="preserve">Сентябрь 2026 года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</w:p>
        <w:p>
          <w:pPr>
            <w:pStyle w:val="TOC2"/>
            <w:tabs>
              <w:tab w:val="right" w:leader="dot" w:pos="9638"/>
            </w:tabs>
          </w:pPr>
          <w:hyperlink w:anchor="_TocAnchor4_2123" w:history="1">
            <w:r>
              <w:t xml:space="preserve">Зачем нужны протоколы и как ими пользоваться</w:t>
            </w:r>
          </w:hyperlink>
          <w:r>
            <w:tab/>
            <w:t>1</w:t>
          </w:r>
        </w:p>
        <w:p>
          <w:pPr>
            <w:pStyle w:val="TOC2"/>
            <w:tabs>
              <w:tab w:val="right" w:leader="dot" w:pos="9638"/>
            </w:tabs>
          </w:pPr>
          <w:hyperlink w:anchor="_TocAnchor13_2125" w:history="1">
            <w:r>
              <w:t xml:space="preserve">Протоколы</w:t>
            </w:r>
          </w:hyperlink>
          <w:r>
            <w:tab/>
            <w:t>2</w:t>
          </w:r>
        </w:p>
        <w:p>
          <w:pPr>
            <w:pStyle w:val="TOC3"/>
            <w:tabs>
              <w:tab w:val="right" w:leader="dot" w:pos="9638"/>
            </w:tabs>
          </w:pPr>
          <w:hyperlink w:anchor="_TocAnchor14_2127" w:history="1">
            <w:r>
              <w:t xml:space="preserve">Д-01. Полнота пути и состояний</w:t>
            </w:r>
          </w:hyperlink>
          <w:r>
            <w:tab/>
            <w:t>2</w:t>
          </w:r>
        </w:p>
        <w:p>
          <w:pPr>
            <w:pStyle w:val="TOC3"/>
            <w:tabs>
              <w:tab w:val="right" w:leader="dot" w:pos="9638"/>
            </w:tabs>
          </w:pPr>
          <w:hyperlink w:anchor="_TocAnchor23_2129" w:history="1">
            <w:r>
              <w:t xml:space="preserve">Д-02. Управление с клавиатуры</w:t>
            </w:r>
          </w:hyperlink>
          <w:r>
            <w:tab/>
            <w:t>3</w:t>
          </w:r>
        </w:p>
        <w:p>
          <w:pPr>
            <w:pStyle w:val="TOC3"/>
            <w:tabs>
              <w:tab w:val="right" w:leader="dot" w:pos="9638"/>
            </w:tabs>
          </w:pPr>
          <w:hyperlink w:anchor="_TocAnchor32_2131" w:history="1">
            <w:r>
              <w:t xml:space="preserve">Д-03. Порядок и перенос фокуса</w:t>
            </w:r>
          </w:hyperlink>
          <w:r>
            <w:tab/>
            <w:t>3</w:t>
          </w:r>
        </w:p>
        <w:p>
          <w:pPr>
            <w:pStyle w:val="TOC3"/>
            <w:tabs>
              <w:tab w:val="right" w:leader="dot" w:pos="9638"/>
            </w:tabs>
          </w:pPr>
          <w:hyperlink w:anchor="_TocAnchor41_2133" w:history="1">
            <w:r>
              <w:t xml:space="preserve">Д-04. Шаги, возврат и отмена</w:t>
            </w:r>
          </w:hyperlink>
          <w:r>
            <w:tab/>
            <w:t>4</w:t>
          </w:r>
        </w:p>
        <w:p>
          <w:pPr>
            <w:pStyle w:val="TOC3"/>
            <w:tabs>
              <w:tab w:val="right" w:leader="dot" w:pos="9638"/>
            </w:tabs>
          </w:pPr>
          <w:hyperlink w:anchor="_TocAnchor50_2135" w:history="1">
            <w:r>
              <w:t xml:space="preserve">Д-05. Подписи и инструкции</w:t>
            </w:r>
          </w:hyperlink>
          <w:r>
            <w:tab/>
            <w:t>4</w:t>
          </w:r>
        </w:p>
        <w:p>
          <w:pPr>
            <w:pStyle w:val="TOC3"/>
            <w:tabs>
              <w:tab w:val="right" w:leader="dot" w:pos="9638"/>
            </w:tabs>
          </w:pPr>
          <w:hyperlink w:anchor="_TocAnchor59_2137" w:history="1">
            <w:r>
              <w:t xml:space="preserve">Д-06. Выявление и описание ошибок</w:t>
            </w:r>
          </w:hyperlink>
          <w:r>
            <w:tab/>
            <w:t>5</w:t>
          </w:r>
        </w:p>
        <w:p>
          <w:pPr>
            <w:pStyle w:val="TOC3"/>
            <w:tabs>
              <w:tab w:val="right" w:leader="dot" w:pos="9638"/>
            </w:tabs>
          </w:pPr>
          <w:hyperlink w:anchor="_TocAnchor68_2139" w:history="1">
            <w:r>
              <w:t xml:space="preserve">Д-07. Сообщения о состоянии</w:t>
            </w:r>
          </w:hyperlink>
          <w:r>
            <w:tab/>
            <w:t>5</w:t>
          </w:r>
        </w:p>
        <w:p>
          <w:pPr>
            <w:pStyle w:val="TOC3"/>
            <w:tabs>
              <w:tab w:val="right" w:leader="dot" w:pos="9638"/>
            </w:tabs>
          </w:pPr>
          <w:hyperlink w:anchor="_TocAnchor77_2141" w:history="1">
            <w:r>
              <w:t xml:space="preserve">Д-08. Ограничение времени и продление</w:t>
            </w:r>
          </w:hyperlink>
          <w:r>
            <w:tab/>
            <w:t>6</w:t>
          </w:r>
        </w:p>
        <w:p>
          <w:pPr>
            <w:pStyle w:val="TOC3"/>
            <w:tabs>
              <w:tab w:val="right" w:leader="dot" w:pos="9638"/>
            </w:tabs>
          </w:pPr>
          <w:hyperlink w:anchor="_TocAnchor86_2143" w:history="1">
            <w:r>
              <w:t xml:space="preserve">Д-09. Предупреждение о потере и сохранение введенного</w:t>
            </w:r>
          </w:hyperlink>
          <w:r>
            <w:tab/>
            <w:t>6</w:t>
          </w:r>
        </w:p>
        <w:p>
          <w:pPr>
            <w:pStyle w:val="TOC3"/>
            <w:tabs>
              <w:tab w:val="right" w:leader="dot" w:pos="9638"/>
            </w:tabs>
          </w:pPr>
          <w:hyperlink w:anchor="_TocAnchor95_2145" w:history="1">
            <w:r>
              <w:t xml:space="preserve">Д-10. Отсутствие повторного ввода</w:t>
            </w:r>
          </w:hyperlink>
          <w:r>
            <w:tab/>
            <w:t>7</w:t>
          </w:r>
        </w:p>
        <w:p>
          <w:pPr>
            <w:pStyle w:val="TOC3"/>
            <w:tabs>
              <w:tab w:val="right" w:leader="dot" w:pos="9638"/>
            </w:tabs>
          </w:pPr>
          <w:hyperlink w:anchor="_TocAnchor104_2147" w:history="1">
            <w:r>
              <w:t xml:space="preserve">Д-11. Доступная аутентификация</w:t>
            </w:r>
          </w:hyperlink>
          <w:r>
            <w:tab/>
            <w:t>7</w:t>
          </w:r>
        </w:p>
        <w:p>
          <w:pPr>
            <w:pStyle w:val="TOC3"/>
            <w:tabs>
              <w:tab w:val="right" w:leader="dot" w:pos="9638"/>
            </w:tabs>
          </w:pPr>
          <w:hyperlink w:anchor="_TocAnchor113_2149" w:history="1">
            <w:r>
              <w:t xml:space="preserve">Д-12. Капча и альтернативы</w:t>
            </w:r>
          </w:hyperlink>
          <w:r>
            <w:tab/>
            <w:t>8</w:t>
          </w:r>
        </w:p>
        <w:p>
          <w:pPr>
            <w:pStyle w:val="TOC3"/>
            <w:tabs>
              <w:tab w:val="right" w:leader="dot" w:pos="9638"/>
            </w:tabs>
          </w:pPr>
          <w:hyperlink w:anchor="_TocAnchor122_2151" w:history="1">
            <w:r>
              <w:t xml:space="preserve">Д-13. Одноразовые коды</w:t>
            </w:r>
          </w:hyperlink>
          <w:r>
            <w:tab/>
            <w:t>8</w:t>
          </w:r>
        </w:p>
        <w:p>
          <w:pPr>
            <w:pStyle w:val="TOC3"/>
            <w:tabs>
              <w:tab w:val="right" w:leader="dot" w:pos="9638"/>
            </w:tabs>
          </w:pPr>
          <w:hyperlink w:anchor="_TocAnchor131_2153" w:history="1">
            <w:r>
              <w:t xml:space="preserve">Д-14. Повторный вход и продолжение</w:t>
            </w:r>
          </w:hyperlink>
          <w:r>
            <w:tab/>
            <w:t>9</w:t>
          </w:r>
        </w:p>
        <w:p>
          <w:pPr>
            <w:pStyle w:val="TOC3"/>
            <w:tabs>
              <w:tab w:val="right" w:leader="dot" w:pos="9638"/>
            </w:tabs>
          </w:pPr>
          <w:hyperlink w:anchor="_TocAnchor140_2155" w:history="1">
            <w:r>
              <w:t xml:space="preserve">Д-15. Предотвращение значимых ошибок</w:t>
            </w:r>
          </w:hyperlink>
          <w:r>
            <w:tab/>
            <w:t>9</w:t>
          </w:r>
        </w:p>
        <w:p>
          <w:pPr>
            <w:pStyle w:val="TOC3"/>
            <w:tabs>
              <w:tab w:val="right" w:leader="dot" w:pos="9638"/>
            </w:tabs>
          </w:pPr>
          <w:hyperlink w:anchor="_TocAnchor149_2157" w:history="1">
            <w:r>
              <w:t xml:space="preserve">Д-16. Единообразная помощь</w:t>
            </w:r>
          </w:hyperlink>
          <w:r>
            <w:tab/>
            <w:t>10</w:t>
          </w:r>
        </w:p>
        <w:p>
          <w:pPr>
            <w:pStyle w:val="TOC3"/>
            <w:tabs>
              <w:tab w:val="right" w:leader="dot" w:pos="9638"/>
            </w:tabs>
          </w:pPr>
          <w:hyperlink w:anchor="_TocAnchor158_2159" w:history="1">
            <w:r>
              <w:t xml:space="preserve">Д-17. Загрузка файлов</w:t>
            </w:r>
          </w:hyperlink>
          <w:r>
            <w:tab/>
            <w:t>10</w:t>
          </w:r>
        </w:p>
        <w:p>
          <w:pPr>
            <w:pStyle w:val="TOC3"/>
            <w:tabs>
              <w:tab w:val="right" w:leader="dot" w:pos="9638"/>
            </w:tabs>
          </w:pPr>
          <w:hyperlink w:anchor="_TocAnchor167_2161" w:history="1">
            <w:r>
              <w:t xml:space="preserve">Д-18. Результат в доступном виде</w:t>
            </w:r>
          </w:hyperlink>
          <w:r>
            <w:tab/>
            <w:t>11</w:t>
          </w:r>
        </w:p>
        <w:p>
          <w:pPr>
            <w:pStyle w:val="TOC3"/>
            <w:tabs>
              <w:tab w:val="right" w:leader="dot" w:pos="9638"/>
            </w:tabs>
          </w:pPr>
          <w:hyperlink w:anchor="_TocAnchor176_2163" w:history="1">
            <w:r>
              <w:t xml:space="preserve">Д-19. Переход между ресурсами и возврат</w:t>
            </w:r>
          </w:hyperlink>
          <w:r>
            <w:tab/>
            <w:t>11</w:t>
          </w:r>
        </w:p>
        <w:p>
          <w:pPr>
            <w:pStyle w:val="TOC3"/>
            <w:tabs>
              <w:tab w:val="right" w:leader="dot" w:pos="9638"/>
            </w:tabs>
          </w:pPr>
          <w:hyperlink w:anchor="_TocAnchor185_2165" w:history="1">
            <w:r>
              <w:t xml:space="preserve">Д-20. Уведомления и подтверждения по другим каналам</w:t>
            </w:r>
          </w:hyperlink>
          <w:r>
            <w:tab/>
            <w:t>12</w:t>
          </w:r>
        </w:p>
        <w:p>
          <w:r>
            <w:fldChar w:fldCharType="end"/>
          </w:r>
        </w:p>
      </w:sdtContent>
    </w:sdt>
    <w:p>
      <w:pPr>
        <w:pStyle w:val="FirstParagraph"/>
      </w:pPr>
      <w:r>
        <w:rPr>
          <w:b/>
          <w:bCs/>
        </w:rPr>
        <w:t xml:space="preserve">Версия:</w:t>
      </w:r>
      <w:r>
        <w:t xml:space="preserve"> </w:t>
      </w:r>
      <w:r>
        <w:t xml:space="preserve">0.1</w:t>
      </w:r>
      <w:r>
        <w:br/>
      </w:r>
      <w:r>
        <w:rPr>
          <w:b/>
          <w:bCs/>
        </w:rPr>
        <w:t xml:space="preserve">Дата:</w:t>
      </w:r>
      <w:r>
        <w:t xml:space="preserve"> </w:t>
      </w:r>
      <w:r>
        <w:t xml:space="preserve">23 сентября 2026 года</w:t>
      </w:r>
      <w:r>
        <w:br/>
      </w:r>
      <w:r>
        <w:rPr>
          <w:b/>
          <w:bCs/>
        </w:rPr>
        <w:t xml:space="preserve">Статус:</w:t>
      </w:r>
      <w:r>
        <w:t xml:space="preserve"> </w:t>
      </w:r>
      <w:r>
        <w:t xml:space="preserve">приложение к методологии оценки, проект для обсуждения и апробации. Это не утвержденный стандарт, нормативный правовой акт или сертификат.</w:t>
      </w:r>
    </w:p>
    <w:bookmarkStart w:id="19" w:name="X7f63c22228cc384033f81f4ef5e0e57e1d04e93"/>
    <w:p>
      <w:pPr>
        <w:pStyle w:val="Heading2"/>
      </w:pPr>
      <w:bookmarkStart w:id="2124" w:name="_TocAnchor4_2123"/>
      <w:r>
        <w:t xml:space="preserve">Зачем нужны протоколы и как ими пользоваться</w:t>
      </w:r>
      <w:bookmarkEnd w:id="2124"/>
    </w:p>
    <w:p>
      <w:pPr>
        <w:pStyle w:val="FirstParagraph"/>
      </w:pPr>
      <w:r>
        <w:t xml:space="preserve">Приложение задает одинаковую процедуру для проверок Д-01-Д-20 раздела Д</w:t>
      </w:r>
      <w:r>
        <w:t xml:space="preserve"> </w:t>
      </w:r>
      <w:hyperlink r:id="rId18">
        <w:r>
          <w:rPr>
            <w:rStyle w:val="Hyperlink"/>
          </w:rPr>
          <w:t xml:space="preserve">«Методологии оценки доступности цифровых ресурсов»</w:t>
        </w:r>
      </w:hyperlink>
      <w:r>
        <w:t xml:space="preserve">. Методология определяет инвентаризацию, выборку, безопасные условия, конфигурации, доказательства и серьезность. Этот файл определяет действия оценщика на каждом шаге выбранного процесса.</w:t>
      </w:r>
    </w:p>
    <w:p>
      <w:pPr>
        <w:pStyle w:val="BodyText"/>
      </w:pPr>
      <w:r>
        <w:t xml:space="preserve">Каждая применимая проверка заканчивается одним статусом: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прохождение:</w:t>
      </w:r>
      <w:r>
        <w:t xml:space="preserve"> </w:t>
      </w:r>
      <w:r>
        <w:t xml:space="preserve">условия карточки выполнены на всех применимых шагах и состояниях выбранного варианта процесса;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нарушение:</w:t>
      </w:r>
      <w:r>
        <w:t xml:space="preserve"> </w:t>
      </w:r>
      <w:r>
        <w:t xml:space="preserve">найден хотя бы один подтвержденный применимый случай невыполнения;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NA:</w:t>
      </w:r>
      <w:r>
        <w:t xml:space="preserve"> </w:t>
      </w:r>
      <w:r>
        <w:t xml:space="preserve">функция или состояние отсутствуют во всем проверяемом процессе, причина записана;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не проверено:</w:t>
      </w:r>
      <w:r>
        <w:t xml:space="preserve"> </w:t>
      </w:r>
      <w:r>
        <w:t xml:space="preserve">применимость или результат не установлены из-за отсутствия разрешенного стенда, роли, состояния, канала или достаточного доказательства. Этот статус не считается прохождением.</w:t>
      </w:r>
    </w:p>
    <w:p>
      <w:pPr>
        <w:pStyle w:val="FirstParagraph"/>
      </w:pPr>
      <w:r>
        <w:t xml:space="preserve">Минимальная запись содержит ID процесса и варианта, роль, конфигурацию, тестовый набор, шаг и состояние, действие, ожидаемый и фактический результат, фокус до и после, адрес или канал, дату, оценщика и ссылку на доказательство. Секреты, одноразовые коды, платежные сведения и персональные данные в доказательства не включаются. Автоматический сигнал из Д.6 не заменяет ручной вывод.</w:t>
      </w:r>
    </w:p>
    <w:p>
      <w:pPr>
        <w:pStyle w:val="BodyText"/>
      </w:pPr>
      <w:r>
        <w:t xml:space="preserve">Нормативная ссылка показывает основание проверки. Поясняющие документы W3C используются для толкования, а не создают новое обязательное требование. Поле «Граница проекта» отделяет требование источника от более строгого правила проекта. Такое правило действует как</w:t>
      </w:r>
      <w:r>
        <w:t xml:space="preserve"> </w:t>
      </w:r>
      <w:r>
        <w:rPr>
          <w:b/>
          <w:bCs/>
        </w:rPr>
        <w:t xml:space="preserve">Предложение проекта</w:t>
      </w:r>
      <w:r>
        <w:t xml:space="preserve"> </w:t>
      </w:r>
      <w:r>
        <w:t xml:space="preserve">только после включения в принятый профиль.</w:t>
      </w:r>
    </w:p>
    <w:bookmarkEnd w:id="19"/>
    <w:bookmarkStart w:id="66" w:name="протоколы"/>
    <w:p>
      <w:pPr>
        <w:pStyle w:val="Heading2"/>
      </w:pPr>
      <w:bookmarkStart w:id="2126" w:name="_TocAnchor13_2125"/>
      <w:r>
        <w:t xml:space="preserve">Протоколы</w:t>
      </w:r>
      <w:bookmarkEnd w:id="2126"/>
    </w:p>
    <w:bookmarkStart w:id="22" w:name="д-01.-полнота-пути-и-состояний"/>
    <w:p>
      <w:pPr>
        <w:pStyle w:val="Heading3"/>
      </w:pPr>
      <w:bookmarkStart w:id="2128" w:name="_TocAnchor14_2127"/>
      <w:r>
        <w:t xml:space="preserve">Д-01. Полнота пути и состояний</w:t>
      </w:r>
      <w:bookmarkEnd w:id="2128"/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каждый выбранный процесс и каждый включенный вариант роли или результата.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замороженный реестр процессов, схема выбранного пути, разрешенные роли и тестовые состояния, известный ожидаемый результат.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начать с объявленной точки входа; записать каждую страницу, состояние, канал и переход до результата; повторить применимые ветви успеха, ошибки, исправления, возврата, отмены, истечения, продления и повторного входа; сопоставить фактический путь со схемой и реестром.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весь выбранный путь и применимые ответвления проверены, а каждая веб-страница процесса включена целиком; нарушение, если заявление о прохождении основано на отдельном экране или исключает обязательный шаг.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не применяется к выбранному процессу; отдельная ветвь может быть NA только при подтвержденном отсутствии. Не проверено, если ветвь существует, но безопасно недоступна.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карта пути с номерами шагов, адресами или каналами, состояниями, переходами и результатами; причины NA и непроверенных ветвей.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20">
        <w:r>
          <w:rPr>
            <w:rStyle w:val="Hyperlink"/>
          </w:rPr>
          <w:t xml:space="preserve">WCAG 2.2, требования соответствия 2 и 3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WCAG-EM, шаг 3.c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состав дополнительных ветвей сверх полного веб-процесса определяется выборкой Д.3 и помечен там как</w:t>
      </w:r>
      <w:r>
        <w:t xml:space="preserve"> </w:t>
      </w:r>
      <w:r>
        <w:rPr>
          <w:b/>
          <w:bCs/>
        </w:rPr>
        <w:t xml:space="preserve">Предложение проекта</w:t>
      </w:r>
      <w:r>
        <w:t xml:space="preserve">.</w:t>
      </w:r>
    </w:p>
    <w:bookmarkEnd w:id="22"/>
    <w:bookmarkStart w:id="25" w:name="д-02.-управление-с-клавиатуры"/>
    <w:p>
      <w:pPr>
        <w:pStyle w:val="Heading3"/>
      </w:pPr>
      <w:bookmarkStart w:id="2130" w:name="_TocAnchor23_2129"/>
      <w:r>
        <w:t xml:space="preserve">Д-02. Управление с клавиатуры</w:t>
      </w:r>
      <w:bookmarkEnd w:id="2130"/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все интерактивные шаги, элементы, диалоги и способы выхода веб-части процесса.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начальное состояние шага, клавиатура или эквивалентный интерфейс ввода, отключенная мышь, известные нестандартные сочетания клавиш.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пройти процесс последовательной навигацией и стандартными клавишами активации; открыть и закрыть диалоги, списки и календарные элементы; выполнить возврат и отмену; проверить достижимость всех действий, отсутствие ловушки и возможность восстановить движение фокуса без перезагрузки.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вся функциональность доступна с клавиатуры, а из каждого компонента можно выйти обычным или заранее сообщенным способом; нарушение при недостижимом действии, невидимом активном элементе, цикле или ловушке.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только для процесса без веб-интерфейса и клавиатурного способа; не проверено, если внешний вид ресурса или устройство не предоставлены.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последовательность клавиш и фокуса, шаг, элемент, ожидаемое и фактическое действие, снимок видимого фокуса или запись ловушки.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23">
        <w:r>
          <w:rPr>
            <w:rStyle w:val="Hyperlink"/>
          </w:rPr>
          <w:t xml:space="preserve">WCAG 2.1.1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2.1.2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автоматическое прохождение последовательности подтверждает только наблюдаемый маршрут; ручная проверка всех функций остается обязательной.</w:t>
      </w:r>
    </w:p>
    <w:bookmarkEnd w:id="25"/>
    <w:bookmarkStart w:id="28" w:name="д-03.-порядок-и-перенос-фокуса"/>
    <w:p>
      <w:pPr>
        <w:pStyle w:val="Heading3"/>
      </w:pPr>
      <w:bookmarkStart w:id="2132" w:name="_TocAnchor32_2131"/>
      <w:r>
        <w:t xml:space="preserve">Д-03. Порядок и перенос фокуса</w:t>
      </w:r>
      <w:bookmarkEnd w:id="2132"/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страницы и компоненты с несколькими элементами, сменой шага, динамическим обновлением, ошибкой, диалогом или возвратом.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известная визуальная и смысловая последовательность, программа экранного доступа, клавиатурный ввод.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записать порядок последовательной навигации; активировать переход вперед и назад, открыть и закрыть диалог, вызвать разрешенную ошибку и динамическое обновление; после каждого действия установить активный элемент, его имя, роль, состояние и контекст; проверить возврат фокуса к инициатору или к месту, где продолжение понятно.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порядок сохраняет смысл и работоспособность, а перенос не скрывает изменение и не возвращает пользователя в начало без причины; нарушение при пропуске, неожиданном скачке, потере фокуса или программно не определимом элементе.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для шага без фокусируемых элементов и динамических переходов; не проверено без требуемого состояния.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таблица «действие, фокус до, фокус после, ожидаемое место, фактическое место», программные имя, роль и состояние.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26">
        <w:r>
          <w:rPr>
            <w:rStyle w:val="Hyperlink"/>
          </w:rPr>
          <w:t xml:space="preserve">WCAG 2.4.3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4.1.2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конкретная точка переноса не предписывается, если смысл и работоспособность сохраняются.</w:t>
      </w:r>
    </w:p>
    <w:bookmarkEnd w:id="28"/>
    <w:bookmarkStart w:id="32" w:name="д-04.-шаги-возврат-и-отмена"/>
    <w:p>
      <w:pPr>
        <w:pStyle w:val="Heading3"/>
      </w:pPr>
      <w:bookmarkStart w:id="2134" w:name="_TocAnchor41_2133"/>
      <w:r>
        <w:t xml:space="preserve">Д-04. Шаги, возврат и отмена</w:t>
      </w:r>
      <w:bookmarkEnd w:id="2134"/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многошаговые процессы, мастера, анкеты и последовательности с сохранением или изменением данных.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известное число или логика шагов, безопасные тестовые данные, разрешенные действия возврата и отмены.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на каждом шаге определить название, положение в процессе и доступные действия; перейти вперед, затем назад; проверить сохранение допустимых данных и фокуса; вызвать отмену до итогового действия и проверить предупреждение, результат и возможность продолжить.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текущий шаг и назначение понятны, возврат и отмена доступны, а потеря данных заранее объявлена; нарушение при неясном положении, необратимом переходе без предупреждения или недоступной отмене там, где она заявлена.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для одношагового процесса без возврата и отмены; не проверено, если отмена создает внешнее последствие и стенд отсутствует.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снимки двух соседних шагов, последовательность действий, состояние введенного до и после возврата, текст предупреждения и итог отмены.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29">
        <w:r>
          <w:rPr>
            <w:rStyle w:val="Hyperlink"/>
          </w:rPr>
          <w:t xml:space="preserve">WCAG 2.4.6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Making Content Usable: ясность шага</w:t>
        </w:r>
      </w:hyperlink>
      <w:r>
        <w:t xml:space="preserve">,</w:t>
      </w:r>
      <w:r>
        <w:t xml:space="preserve"> </w:t>
      </w:r>
      <w:hyperlink r:id="rId31">
        <w:r>
          <w:rPr>
            <w:rStyle w:val="Hyperlink"/>
          </w:rPr>
          <w:t xml:space="preserve">возврат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индикатор шага, доступный возврат и предупреждение о потере применяются как</w:t>
      </w:r>
      <w:r>
        <w:t xml:space="preserve"> </w:t>
      </w:r>
      <w:r>
        <w:rPr>
          <w:b/>
          <w:bCs/>
        </w:rPr>
        <w:t xml:space="preserve">Предложение проекта</w:t>
      </w:r>
      <w:r>
        <w:t xml:space="preserve">, если не следуют из принятого профиля или характера заявленной функции.</w:t>
      </w:r>
    </w:p>
    <w:bookmarkEnd w:id="32"/>
    <w:bookmarkStart w:id="35" w:name="д-05.-подписи-и-инструкции"/>
    <w:p>
      <w:pPr>
        <w:pStyle w:val="Heading3"/>
      </w:pPr>
      <w:bookmarkStart w:id="2136" w:name="_TocAnchor50_2135"/>
      <w:r>
        <w:t xml:space="preserve">Д-05. Подписи и инструкции</w:t>
      </w:r>
      <w:bookmarkEnd w:id="2136"/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поля ввода, выборы, загрузка, подтверждение, а также группы элементов с форматом или ограничением.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пустое состояние шага, программное представление элементов, известные правила данных.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до ввода установить доступное имя каждого поля, обязательность, формат, единицы, допустимый диапазон и связь общей инструкции с группой; сравнить программную и видимую подписи; проверить, что заполнитель не является единственным источником постоянной инструкции.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назначение и ограничения доступны до действия и программно связаны с полем, когда связь необходима; нарушение при отсутствующей, неверной, исчезающей или несвязанной подписи.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для шага без пользовательского ввода; не проверено, если правила данных неизвестны и не могут быть установлены безопасно.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шаг и поле, видимая подпись, доступное имя, инструкция, обязательность и программная связь.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33">
        <w:r>
          <w:rPr>
            <w:rStyle w:val="Hyperlink"/>
          </w:rPr>
          <w:t xml:space="preserve">WCAG 3.3.2</w:t>
        </w:r>
      </w:hyperlink>
      <w:r>
        <w:t xml:space="preserve">,</w:t>
      </w:r>
      <w:r>
        <w:t xml:space="preserve"> </w:t>
      </w:r>
      <w:hyperlink r:id="rId34">
        <w:r>
          <w:rPr>
            <w:rStyle w:val="Hyperlink"/>
          </w:rPr>
          <w:t xml:space="preserve">2.5.3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проект не предписывает конкретное расположение подписи, если связь и понятность подтверждены.</w:t>
      </w:r>
    </w:p>
    <w:bookmarkEnd w:id="35"/>
    <w:bookmarkStart w:id="38" w:name="д-06.-выявление-и-описание-ошибок"/>
    <w:p>
      <w:pPr>
        <w:pStyle w:val="Heading3"/>
      </w:pPr>
      <w:bookmarkStart w:id="2138" w:name="_TocAnchor59_2137"/>
      <w:r>
        <w:t xml:space="preserve">Д-06. Выявление и описание ошибок</w:t>
      </w:r>
      <w:bookmarkEnd w:id="2138"/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поля и действия, для которых сервис способен выявить ошибку ввода.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разрешенные обезличенные значения для пустого, неверного формата и нарушенного ограничения; запрет на итоговую отправку вне стенда.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вызвать каждую безопасную ошибку; определить ошибочное поле и сообщение; прочитать сообщение визуально и программой экранного доступа; проверить текстовое описание причины, известную подсказку исправления, сохранение корректных полей и успешное исправление.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ошибка обозначена текстом, связана с полем и содержит известное предложение исправления, кроме случаев риска безопасности или назначения; нарушение при одном цвете, общей фразе без поля, исчезающем сообщении или цикле без способа исправить.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NA, если ввод и выявляемые ошибки отсутствуют; не проверено для ошибки, которую нельзя безопасно вызвать.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класс тестового значения без его содержимого, поле, сообщение, программная связь, фокус, исправление и результат.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36">
        <w:r>
          <w:rPr>
            <w:rStyle w:val="Hyperlink"/>
          </w:rPr>
          <w:t xml:space="preserve">WCAG 3.3.1</w:t>
        </w:r>
      </w:hyperlink>
      <w:r>
        <w:t xml:space="preserve">,</w:t>
      </w:r>
      <w:r>
        <w:t xml:space="preserve"> </w:t>
      </w:r>
      <w:hyperlink r:id="rId37">
        <w:r>
          <w:rPr>
            <w:rStyle w:val="Hyperlink"/>
          </w:rPr>
          <w:t xml:space="preserve">3.3.3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требование раскрывать защитные правила не вводится, если подсказка создает подтвержденный риск безопасности. Сохранение корректно введенных полей является</w:t>
      </w:r>
      <w:r>
        <w:t xml:space="preserve"> </w:t>
      </w:r>
      <w:r>
        <w:rPr>
          <w:b/>
          <w:bCs/>
        </w:rPr>
        <w:t xml:space="preserve">Предложением проекта</w:t>
      </w:r>
      <w:r>
        <w:t xml:space="preserve">, если не следует из принятого профиля.</w:t>
      </w:r>
    </w:p>
    <w:bookmarkEnd w:id="38"/>
    <w:bookmarkStart w:id="40" w:name="д-07.-сообщения-о-состоянии"/>
    <w:p>
      <w:pPr>
        <w:pStyle w:val="Heading3"/>
      </w:pPr>
      <w:bookmarkStart w:id="2140" w:name="_TocAnchor68_2139"/>
      <w:r>
        <w:t xml:space="preserve">Д-07. Сообщения о состоянии</w:t>
      </w:r>
      <w:bookmarkEnd w:id="2140"/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загрузка, поиск, фильтрация, сохранение, отправка на стенде, ожидание, успех, предупреждение и ошибка, которые не переносят фокус.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наблюдаемое исходное состояние, программа экранного доступа, разрешенное действие, известный ожидаемый результат.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вызвать изменение только клавиатурой; не перемещать фокус вручную; записать появившийся текст и программную роль области; проверить своевременное объявление результата, числа найденного, хода и ошибки; повторить при быстрой последовательности изменений.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сообщение программно определимо с подходящей ролью или свойством и доступно вспомогательной технологии без обязательного фокуса; нарушение, если изменение видно, но не объявляется либо объявление не соответствует состоянию.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при отсутствии применимых динамических сообщений; не проверено, если действие имеет внешнее последствие и стенд отсутствует.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действие, фокус до и после, текст, программная роль или свойство, время появления и фактический вывод вспомогательной технологии.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39">
        <w:r>
          <w:rPr>
            <w:rStyle w:val="Hyperlink"/>
          </w:rPr>
          <w:t xml:space="preserve">WCAG 4.1.3</w:t>
        </w:r>
      </w:hyperlink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перенос фокуса не требуется только ради сообщения; если изменение требует продолжения в новом контексте, порядок оценивается по Д-03.</w:t>
      </w:r>
    </w:p>
    <w:bookmarkEnd w:id="40"/>
    <w:bookmarkStart w:id="42" w:name="д-08.-ограничение-времени-и-продление"/>
    <w:p>
      <w:pPr>
        <w:pStyle w:val="Heading3"/>
      </w:pPr>
      <w:bookmarkStart w:id="2142" w:name="_TocAnchor77_2141"/>
      <w:r>
        <w:t xml:space="preserve">Д-08. Ограничение времени и продление</w:t>
      </w:r>
      <w:bookmarkEnd w:id="2142"/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сессии, шаги, коды и операции с ограничением времени, установленным содержимым.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известная длительность, разрешенный стенд или безопасное короткое тестовое значение, точка отсчета, состояния предупреждения и истечения.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измерить время; установить способ отключить, настроить или продлить; дождаться предупреждения; проверить, что оно дано не менее чем за 20 секунд и продление доступно простым действием не менее десяти раз, если не действует исключение критерия; проверить состояние после истечения.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 при выполнении применимого варианта WCAG 2.2.1 или подтвержденного исключения; нарушение при истечении без доступного управления либо при потере возможности завершить задачу.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ограничения, установленного содержимым, или при документированном исключении; не проверено, если срок нельзя безопасно воспроизвести.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источник и длительность ограничения, время предупреждения, доступное действие, число продлений, состояние данных и обоснование исключения.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41">
        <w:r>
          <w:rPr>
            <w:rStyle w:val="Hyperlink"/>
          </w:rPr>
          <w:t xml:space="preserve">WCAG 2.2.1</w:t>
        </w:r>
      </w:hyperlink>
      <w:r>
        <w:t xml:space="preserve">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длительное ожидание не заменяют предположением; без измерения ставится «не проверено».</w:t>
      </w:r>
    </w:p>
    <w:bookmarkEnd w:id="42"/>
    <w:bookmarkStart w:id="44" w:name="X0d100bcf35d1381448f864ca548d60587c2857c"/>
    <w:p>
      <w:pPr>
        <w:pStyle w:val="Heading3"/>
      </w:pPr>
      <w:bookmarkStart w:id="2144" w:name="_TocAnchor86_2143"/>
      <w:r>
        <w:t xml:space="preserve">Д-09. Предупреждение о потере и сохранение введенного</w:t>
      </w:r>
      <w:bookmarkEnd w:id="2144"/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шаги с введенными данными, которые могут потеряться при выходе, отмене, переходе или истечении.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обезличенный набор с различимыми полями, разрешенные возврат и истечение либо стенд.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заполнить тестовые поля; перейти назад, выйти, отменить и воспроизвести истечение по разрешенному сценарию; записать предупреждение и доступные варианты; продолжить или войти повторно; сравнить сохраненные поля и состояние шага.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потеря заранее явно объявлена и допустимые данные сохраняются либо пользователь осознанно подтверждает отказ; нарушение при неожиданной потере или невозможности продолжить без повторного ввода, когда сохранение допустимо.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вводимых данных или когда сохранение запрещено подтвержденным требованием безопасности; не проверено без разрешенного состояния.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перечень классов заполненных полей без значений, действие, предупреждение, выбранный вариант, состояние после возврата или входа.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43">
        <w:r>
          <w:rPr>
            <w:rStyle w:val="Hyperlink"/>
          </w:rPr>
          <w:t xml:space="preserve">WCAG 2.2.5</w:t>
        </w:r>
      </w:hyperlink>
      <w:r>
        <w:t xml:space="preserve"> </w:t>
      </w:r>
      <w:r>
        <w:t xml:space="preserve">(уровень AAA).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предупреждение о потере и сохранение применяются как</w:t>
      </w:r>
      <w:r>
        <w:t xml:space="preserve"> </w:t>
      </w:r>
      <w:r>
        <w:rPr>
          <w:b/>
          <w:bCs/>
        </w:rPr>
        <w:t xml:space="preserve">Предложение проекта</w:t>
      </w:r>
      <w:r>
        <w:t xml:space="preserve"> </w:t>
      </w:r>
      <w:r>
        <w:t xml:space="preserve">сверх профиля AA; секреты и утратившие силу данные не сохраняются.</w:t>
      </w:r>
    </w:p>
    <w:bookmarkEnd w:id="44"/>
    <w:bookmarkStart w:id="46" w:name="д-10.-отсутствие-повторного-ввода"/>
    <w:p>
      <w:pPr>
        <w:pStyle w:val="Heading3"/>
      </w:pPr>
      <w:bookmarkStart w:id="2146" w:name="_TocAnchor95_2145"/>
      <w:r>
        <w:t xml:space="preserve">Д-10. Отсутствие повторного ввода</w:t>
      </w:r>
      <w:bookmarkEnd w:id="2146"/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информация, уже введенная пользователем ранее в том же процессе и снова запрашиваемая сервисом.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карта полей по шагам, обезличенные различимые значения, сведения о существенности и ограничениях безопасности.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ввести информацию на первом шаге; дойти до каждого повторного запроса; проверить автоматическое заполнение или возможность выбрать прежнее значение; установить, относится ли случай к существенному, защитному или утратившему силу исключению.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 при автоматическом заполнении, выборе или подтвержденном исключении; нарушение, если та же действующая информация должна вводиться заново без допустимой причины.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повторных запросов либо при подтвержденном исключении; не проверено, если дальнейший шаг недоступен.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номера шагов и полей, факт совпадения информации без записи значения, доступный механизм и обоснование исключения.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45">
        <w:r>
          <w:rPr>
            <w:rStyle w:val="Hyperlink"/>
          </w:rPr>
          <w:t xml:space="preserve">WCAG 3.3.7</w:t>
        </w:r>
      </w:hyperlink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сравнение не должно сохранять введенное содержимое в журнале или снимке.</w:t>
      </w:r>
    </w:p>
    <w:bookmarkEnd w:id="46"/>
    <w:bookmarkStart w:id="48" w:name="д-11.-доступная-аутентификация"/>
    <w:p>
      <w:pPr>
        <w:pStyle w:val="Heading3"/>
      </w:pPr>
      <w:bookmarkStart w:id="2148" w:name="_TocAnchor104_2147"/>
      <w:r>
        <w:t xml:space="preserve">Д-11. Доступная аутентификация</w:t>
      </w:r>
      <w:bookmarkEnd w:id="2148"/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вход, повторный вход, восстановление и подтверждение личности на веб-шаге.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разрешенная тестовая учетная запись, все заявленные способы входа, возможность безопасно завершить и сбросить попытку.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перечислить каждый когнитивный функциональный тест, включая запоминание, транскрипцию и решение задачи; пройти основной и альтернативный способы; проверить разрешение вставки и работу механизмов помощи; для исключения подтвердить распознавание объекта, личное содержимое или существенность.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когнитивного теста нет либо доступна отвечающая критерию альтернатива, механизм помощи или допустимое исключение; нарушение, если единственный путь требует недопустимого теста.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для процесса без аутентификации; не проверено без тестовой учетной записи или способа входа.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способ входа, тестируемая функция, доступная альтернатива или помощь, возможность вставки, результат и обоснование исключения.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47">
        <w:r>
          <w:rPr>
            <w:rStyle w:val="Hyperlink"/>
          </w:rPr>
          <w:t xml:space="preserve">WCAG 3.3.8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оценка стойкости и идентификации личности не входит в протокол.</w:t>
      </w:r>
    </w:p>
    <w:bookmarkEnd w:id="48"/>
    <w:bookmarkStart w:id="50" w:name="д-12.-капча-и-альтернативы"/>
    <w:p>
      <w:pPr>
        <w:pStyle w:val="Heading3"/>
      </w:pPr>
      <w:bookmarkStart w:id="2150" w:name="_TocAnchor113_2149"/>
      <w:r>
        <w:t xml:space="preserve">Д-12. Капча и альтернативы</w:t>
      </w:r>
      <w:bookmarkEnd w:id="2150"/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проверка, предназначенная отличить человека от автоматической системы, в том числе на входе и восстановлении.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разрешенное состояние показа, все предлагаемые альтернативы, программа экранного доступа и клавиатура.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установить доступное текстовое описание назначения; открыть каждую альтернативу; пройти ее без мыши и с программой экранного доступа; проверить разные виды восприятия; отдельно установить, остается ли когнитивный функциональный тест единственным путем аутентификации.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нетекстовое содержимое обозначает назначение, существуют альтернативы для разных ограничений и аутентификация соответствует 3.3.8; нарушение при единственной визуальной, звуковой или когнитивной задаче без допустимого пути.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капчи; не проверено, если она появляется нерегулярно и разрешенное состояние не предоставлено.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состояние вызова, описание назначения, перечень альтернатив, клавиатурный путь, программный вывод и результат.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49">
        <w:r>
          <w:rPr>
            <w:rStyle w:val="Hyperlink"/>
          </w:rPr>
          <w:t xml:space="preserve">WCAG 1.1.1</w:t>
        </w:r>
      </w:hyperlink>
      <w:r>
        <w:t xml:space="preserve">,</w:t>
      </w:r>
      <w:r>
        <w:t xml:space="preserve"> </w:t>
      </w:r>
      <w:hyperlink r:id="rId47">
        <w:r>
          <w:rPr>
            <w:rStyle w:val="Hyperlink"/>
          </w:rPr>
          <w:t xml:space="preserve">3.3.8</w:t>
        </w:r>
      </w:hyperlink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одна звуковая альтернатива не доказывает соответствие доступной аутентификации; проверяются оба критерия.</w:t>
      </w:r>
    </w:p>
    <w:bookmarkEnd w:id="50"/>
    <w:bookmarkStart w:id="52" w:name="д-13.-одноразовые-коды"/>
    <w:p>
      <w:pPr>
        <w:pStyle w:val="Heading3"/>
      </w:pPr>
      <w:bookmarkStart w:id="2152" w:name="_TocAnchor122_2151"/>
      <w:r>
        <w:t xml:space="preserve">Д-13. Одноразовые коды</w:t>
      </w:r>
      <w:bookmarkEnd w:id="2152"/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ввод кода из сообщения, приложения, устройства или другого канала.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тестовый получатель, разрешенный код без реальных данных, известные срок, число попыток и способ повторной выдачи.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получить тестовый код; перейти между каналами; вставить код целиком; при раздельных полях проверить автоматический перенос и исправление; проверить подписи, формат, отсчет времени, повторную выдачу, ошибку просроченного кода и возврат в процесс.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код можно вставить или перенести поддерживаемым механизмом без обязательной транскрипции, поля и ошибки доступны, срок и повтор понятны; нарушение при запрете вставки, потере цифр, недоступном отсчете или цикле без восстановления.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одноразового кода; не проверено без тестового канала или разрешенной выдачи.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канал без адреса получателя, число и тип полей, факт вставки без значения кода, срок, повтор, ошибка и итог.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47">
        <w:r>
          <w:rPr>
            <w:rStyle w:val="Hyperlink"/>
          </w:rPr>
          <w:t xml:space="preserve">WCAG 3.3.8</w:t>
        </w:r>
      </w:hyperlink>
      <w:r>
        <w:t xml:space="preserve">,</w:t>
      </w:r>
      <w:r>
        <w:t xml:space="preserve"> </w:t>
      </w:r>
      <w:hyperlink r:id="rId51">
        <w:r>
          <w:rPr>
            <w:rStyle w:val="Hyperlink"/>
          </w:rPr>
          <w:t xml:space="preserve">Understanding 3.3.8</w:t>
        </w:r>
      </w:hyperlink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пояснение W3C информативно; обязательный вывод привязывается к нормативному тексту 3.3.8 и принятому профилю.</w:t>
      </w:r>
    </w:p>
    <w:bookmarkEnd w:id="52"/>
    <w:bookmarkStart w:id="53" w:name="д-14.-повторный-вход-и-продолжение"/>
    <w:p>
      <w:pPr>
        <w:pStyle w:val="Heading3"/>
      </w:pPr>
      <w:bookmarkStart w:id="2154" w:name="_TocAnchor131_2153"/>
      <w:r>
        <w:t xml:space="preserve">Д-14. Повторный вход и продолжение</w:t>
      </w:r>
      <w:bookmarkEnd w:id="2154"/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процесс, который требует повторной аутентификации после истечения, повышения уровня доверия или перехода.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стенд, тестовая учетная запись, заполненный черновик, разрешенный способ вызвать повторный вход.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дойти до контрольного шага с тестовыми данными; вызвать повторный вход; пройти его доступным способом; установить страницу, шаг, фокус и сохраненные данные после возврата; завершить безопасную часть процесса.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повторный вход доступен, контекст понятен и введенная информация сохраняется, кроме подтвержденного ограничения безопасности; нарушение при возврате в начало, потере допустимых данных или недоступном способе продолжить.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повторной аутентификации; не проверено без стенда или тестовой учетной записи.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шаг до входа, причина и способ входа, шаг и фокус после, перечень сохраненных классов полей и ограничений.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43">
        <w:r>
          <w:rPr>
            <w:rStyle w:val="Hyperlink"/>
          </w:rPr>
          <w:t xml:space="preserve">WCAG 2.2.5</w:t>
        </w:r>
      </w:hyperlink>
      <w:r>
        <w:t xml:space="preserve"> </w:t>
      </w:r>
      <w:r>
        <w:t xml:space="preserve">(уровень AAA).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применение в базовом наборе Д является</w:t>
      </w:r>
      <w:r>
        <w:t xml:space="preserve"> </w:t>
      </w:r>
      <w:r>
        <w:rPr>
          <w:b/>
          <w:bCs/>
        </w:rPr>
        <w:t xml:space="preserve">Предложением проекта</w:t>
      </w:r>
      <w:r>
        <w:t xml:space="preserve"> </w:t>
      </w:r>
      <w:r>
        <w:t xml:space="preserve">сверх профиля AA.</w:t>
      </w:r>
    </w:p>
    <w:bookmarkEnd w:id="53"/>
    <w:bookmarkStart w:id="55" w:name="д-15.-предотвращение-значимых-ошибок"/>
    <w:p>
      <w:pPr>
        <w:pStyle w:val="Heading3"/>
      </w:pPr>
      <w:bookmarkStart w:id="2156" w:name="_TocAnchor140_2155"/>
      <w:r>
        <w:t xml:space="preserve">Д-15. Предотвращение значимых ошибок</w:t>
      </w:r>
      <w:bookmarkEnd w:id="2156"/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юридическое обязательство, финансовая операция, изменение или удаление управляемых пользователем данных, отправка ответа на испытание.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стенд или отменяемая тестовая операция, известное последствие, обезличенные данные, запрет реального действия.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дойти до последнего безопасного шага; проверить наличие хотя бы одного механизма: обратимость, выявление и исправление ошибок, либо просмотр, подтверждение и исправление до завершения; проверить содержание сводки и доступность каждого исправления.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 при одном из трех механизмов критерия на всем применимом действии; нарушение при необратимом завершении без проверки или доступного подтверждения.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перечисленных последствий; не проверено, если итоговый механизм нельзя наблюдать без реальной операции и стенд отсутствует.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вид последствия, последний безопасный шаг, сводка, доступные исправления, механизм предотвращения и статус итогового действия.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54">
        <w:r>
          <w:rPr>
            <w:rStyle w:val="Hyperlink"/>
          </w:rPr>
          <w:t xml:space="preserve">WCAG 3.3.4</w:t>
        </w:r>
      </w:hyperlink>
      <w:r>
        <w:t xml:space="preserve">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реальное юридическое или финансовое действие ради проверки не выполняется.</w:t>
      </w:r>
    </w:p>
    <w:bookmarkEnd w:id="55"/>
    <w:bookmarkStart w:id="57" w:name="д-16.-единообразная-помощь"/>
    <w:p>
      <w:pPr>
        <w:pStyle w:val="Heading3"/>
      </w:pPr>
      <w:bookmarkStart w:id="2158" w:name="_TocAnchor149_2157"/>
      <w:r>
        <w:t xml:space="preserve">Д-16. Единообразная помощь</w:t>
      </w:r>
      <w:bookmarkEnd w:id="2158"/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набор веб-страниц процесса, на которых повторяется хотя бы один механизм помощи из перечня WCAG 3.2.6.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все страницы выбранного процесса, перечень контактов, механизмов связи, самостоятельной и автоматизированной помощи.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на каждой странице записать наличие и относительный порядок повторяющихся механизмов; пройти ссылки клавиатурой; проверить назначение, доступное имя и сохранение контекста при возврате.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повторяющийся механизм расположен в одном относительном порядке, кроме изменения, инициированного пользователем; нарушение при непредсказуемом перемещении или подмене назначения.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NA, если ни один механизм из критерия не повторяется; не проверено при недоступной странице процесса.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матрица страниц, механизмов и относительного порядка, последовательность фокуса и результат перехода.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56">
        <w:r>
          <w:rPr>
            <w:rStyle w:val="Hyperlink"/>
          </w:rPr>
          <w:t xml:space="preserve">WCAG 3.2.6</w:t>
        </w:r>
      </w:hyperlink>
      <w:r>
        <w:t xml:space="preserve">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критерий не требует создавать помощь там, где ее нет; проверяется единообразие существующих механизмов.</w:t>
      </w:r>
    </w:p>
    <w:bookmarkEnd w:id="57"/>
    <w:bookmarkStart w:id="59" w:name="д-17.-загрузка-файлов"/>
    <w:p>
      <w:pPr>
        <w:pStyle w:val="Heading3"/>
      </w:pPr>
      <w:bookmarkStart w:id="2160" w:name="_TocAnchor158_2159"/>
      <w:r>
        <w:t xml:space="preserve">Д-17. Загрузка файлов</w:t>
      </w:r>
      <w:bookmarkEnd w:id="2160"/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выбор, перетаскивание, съемка, замена, удаление или отправка файла.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стенд, безопасные тестовые файлы допустимого и недопустимого типа и размера, отсутствие персональных данных.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до выбора установить допустимые форматы, размер и число; выбрать файл с клавиатуры без обязательного перетаскивания; наблюдать ход и результат; вызвать ошибку допустимым способом; заменить и удалить файл; проверить подписи, фокус, сообщения и сохранение остальных данных.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ограничения известны заранее, все действия доступны с клавиатуры, файл однозначно назван, а ход, успех и ошибка доступны программно; нарушение при единственном перетаскивании, неясном ограничении или необъявленном результате.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загрузки; не проверено без стенда или если даже тестовый файл уйдет во внешнюю систему.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свойства файлов без содержимого, способ выбора, последовательность фокуса, ограничения, сообщения, замена и удаление.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33">
        <w:r>
          <w:rPr>
            <w:rStyle w:val="Hyperlink"/>
          </w:rPr>
          <w:t xml:space="preserve">WCAG 3.3.2</w:t>
        </w:r>
      </w:hyperlink>
      <w:r>
        <w:t xml:space="preserve">,</w:t>
      </w:r>
      <w:r>
        <w:t xml:space="preserve"> </w:t>
      </w:r>
      <w:hyperlink r:id="rId36">
        <w:r>
          <w:rPr>
            <w:rStyle w:val="Hyperlink"/>
          </w:rPr>
          <w:t xml:space="preserve">3.3.1</w:t>
        </w:r>
      </w:hyperlink>
      <w:r>
        <w:t xml:space="preserve">,</w:t>
      </w:r>
      <w:r>
        <w:t xml:space="preserve"> </w:t>
      </w:r>
      <w:hyperlink r:id="rId39">
        <w:r>
          <w:rPr>
            <w:rStyle w:val="Hyperlink"/>
          </w:rPr>
          <w:t xml:space="preserve">4.1.3</w:t>
        </w:r>
      </w:hyperlink>
      <w:r>
        <w:t xml:space="preserve">,</w:t>
      </w:r>
      <w:r>
        <w:t xml:space="preserve"> </w:t>
      </w:r>
      <w:hyperlink r:id="rId58">
        <w:r>
          <w:rPr>
            <w:rStyle w:val="Hyperlink"/>
          </w:rPr>
          <w:t xml:space="preserve">2.5.7</w:t>
        </w:r>
      </w:hyperlink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предварительный перечень ограничений, замена и удаление файла являются</w:t>
      </w:r>
      <w:r>
        <w:t xml:space="preserve"> </w:t>
      </w:r>
      <w:r>
        <w:rPr>
          <w:b/>
          <w:bCs/>
        </w:rPr>
        <w:t xml:space="preserve">Предложением проекта</w:t>
      </w:r>
      <w:r>
        <w:t xml:space="preserve"> </w:t>
      </w:r>
      <w:r>
        <w:t xml:space="preserve">в части, не установленной принятым профилем. Содержимое файла и безопасность хранилища не оцениваются; документ оценивается отдельно по разделу Б.</w:t>
      </w:r>
    </w:p>
    <w:bookmarkEnd w:id="59"/>
    <w:bookmarkStart w:id="61" w:name="д-18.-результат-в-доступном-виде"/>
    <w:p>
      <w:pPr>
        <w:pStyle w:val="Heading3"/>
      </w:pPr>
      <w:bookmarkStart w:id="2162" w:name="_TocAnchor167_2161"/>
      <w:r>
        <w:t xml:space="preserve">Д-18. Результат в доступном виде</w:t>
      </w:r>
      <w:bookmarkEnd w:id="2162"/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итоговая страница, статус, справка, чек, решение, уведомление или электронный документ.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безопасный тестовый результат либо уже опубликованный пример, известное назначение и срок доступности.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завершить разрешенный стендовый путь или открыть пример; найти результат с клавиатуры и программой экранного доступа; проверить название, статус, дату, способ получить повторно и связь с исходным процессом; для документа выполнить применимые проверки раздела Б или проверить равноценную доступную версию.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результат достижим, однозначно назван, понятен и доступен в принятом формате; нарушение при недоступной ссылке, неясном файле, недоступном обязательном документе без равноценной версии или исчезновении результата без предупреждения.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для процесса без отдельного результата; не проверено, если результат создается только реальной отправкой и стенд отсутствует.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итоговый шаг, имя и назначение результата, ссылка или способ получения, примененный раздел Б и статус документа.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60">
        <w:r>
          <w:rPr>
            <w:rStyle w:val="Hyperlink"/>
          </w:rPr>
          <w:t xml:space="preserve">WCAG 2.4.4</w:t>
        </w:r>
      </w:hyperlink>
      <w:r>
        <w:t xml:space="preserve">,</w:t>
      </w:r>
      <w:r>
        <w:t xml:space="preserve"> </w:t>
      </w:r>
      <w:hyperlink r:id="rId18">
        <w:r>
          <w:rPr>
            <w:rStyle w:val="Hyperlink"/>
          </w:rPr>
          <w:t xml:space="preserve">раздел Б методологии</w:t>
        </w:r>
      </w:hyperlink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получение результата в том же процессе и равноценная версия являются</w:t>
      </w:r>
      <w:r>
        <w:t xml:space="preserve"> </w:t>
      </w:r>
      <w:r>
        <w:rPr>
          <w:b/>
          <w:bCs/>
        </w:rPr>
        <w:t xml:space="preserve">Предложением проекта</w:t>
      </w:r>
      <w:r>
        <w:t xml:space="preserve"> </w:t>
      </w:r>
      <w:r>
        <w:t xml:space="preserve">в части, не установленной принятым профилем. Юридическая сила результата и срок хранения устанавливаются вне протокола доступности.</w:t>
      </w:r>
    </w:p>
    <w:bookmarkEnd w:id="61"/>
    <w:bookmarkStart w:id="62" w:name="д-19.-переход-между-ресурсами-и-возврат"/>
    <w:p>
      <w:pPr>
        <w:pStyle w:val="Heading3"/>
      </w:pPr>
      <w:bookmarkStart w:id="2164" w:name="_TocAnchor176_2163"/>
      <w:r>
        <w:t xml:space="preserve">Д-19. Переход между ресурсами и возврат</w:t>
      </w:r>
      <w:bookmarkEnd w:id="2164"/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переход на другой домен, сайт, приложение, устройство, документ или канал с последующим продолжением либо возвратом.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все разрешенные компоненты перехода, тестовая роль, исходное состояние с обезличенным контекстом.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записать ресурс и фокус до перехода; активировать переход с клавиатуры; установить предупреждение, цель, способ продолжить и повторный вход; завершить безопасную часть; вернуться штатным способом; сравнить шаг, контекст и допустимые данные.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смена понятна, цель доступна, контекст и допустимые данные сохраняются, а продолжение и возврат не требуют недоступного действия; нарушение при неожиданном канале, тупике, потере контекста или недоступном повторном входе.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переходов; не проверено, если внешний ресурс, приложение или тестовая роль недоступны.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обе стороны перехода, адреса или каналы, предупреждение, фокус, повторный вход, состояние до и после, путь возврата.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20">
        <w:r>
          <w:rPr>
            <w:rStyle w:val="Hyperlink"/>
          </w:rPr>
          <w:t xml:space="preserve">WCAG 2.2, требование соответствия 3</w:t>
        </w:r>
      </w:hyperlink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предупреждение о смене, сохранение контекста и штатный возврат применяются как</w:t>
      </w:r>
      <w:r>
        <w:t xml:space="preserve"> </w:t>
      </w:r>
      <w:r>
        <w:rPr>
          <w:b/>
          <w:bCs/>
        </w:rPr>
        <w:t xml:space="preserve">Предложение проекта</w:t>
      </w:r>
      <w:r>
        <w:t xml:space="preserve"> </w:t>
      </w:r>
      <w:r>
        <w:t xml:space="preserve">сверх границы веб-процесса.</w:t>
      </w:r>
    </w:p>
    <w:bookmarkEnd w:id="62"/>
    <w:bookmarkStart w:id="65" w:name="X9fb8dbb27fe3a75b6e7a72ff76f30d249951ac7"/>
    <w:p>
      <w:pPr>
        <w:pStyle w:val="Heading3"/>
      </w:pPr>
      <w:bookmarkStart w:id="2166" w:name="_TocAnchor185_2165"/>
      <w:r>
        <w:t xml:space="preserve">Д-20. Уведомления и подтверждения по другим каналам</w:t>
      </w:r>
      <w:bookmarkEnd w:id="2166"/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сообщение, звонок, приложение, устройство или иной канал, необходимый для кода, статуса, подтверждения или результата.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тестовый получатель и разрешенный канал, известные срок доставки, назначение и способ повторения.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до перехода установить, какой канал и когда используется; получить тестовое сообщение; проверить смысл без опоры только на цвет, положение, звук или иной один вид восприятия; перейти по безопасной ссылке или ввести код по Д-13; запросить повтор; проверить возвращение в исходный процесс.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канал, срок и действие понятны, сообщение доступно альтернативному восприятию, повтор возможен, а пользователь возвращается в нужный контекст; нарушение при единственном недоступном сигнале или отсутствии безопасного повторения.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другого канала; не проверено без тестового получателя или разрешенной доставки.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вид канала без адреса, момент запроса и доставки, доступное содержание, действие, повтор и состояние после возврата.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63">
        <w:r>
          <w:rPr>
            <w:rStyle w:val="Hyperlink"/>
          </w:rPr>
          <w:t xml:space="preserve">WCAG 1.3.3</w:t>
        </w:r>
      </w:hyperlink>
      <w:r>
        <w:t xml:space="preserve">,</w:t>
      </w:r>
      <w:r>
        <w:t xml:space="preserve"> </w:t>
      </w:r>
      <w:hyperlink r:id="rId64">
        <w:r>
          <w:rPr>
            <w:rStyle w:val="Hyperlink"/>
          </w:rPr>
          <w:t xml:space="preserve">1.4.1</w:t>
        </w:r>
      </w:hyperlink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срок, повтор и сохранение контекста являются</w:t>
      </w:r>
      <w:r>
        <w:t xml:space="preserve"> </w:t>
      </w:r>
      <w:r>
        <w:rPr>
          <w:b/>
          <w:bCs/>
        </w:rPr>
        <w:t xml:space="preserve">Предложением проекта</w:t>
      </w:r>
      <w:r>
        <w:t xml:space="preserve">; работа оператора связи вне границы оценки, но фактическая недоставка записывается как ограничение.</w:t>
      </w:r>
    </w:p>
    <w:bookmarkEnd w:id="65"/>
    <w:bookmarkEnd w:id="66"/>
    <w:sectPr>
      <w:footerReference r:id="rId9" w:type="default"/>
      <w:footnotePr>
        <w:numRestart w:val="eachSect"/>
      </w:footnotePr>
      <w:pgSz w:h="16838" w:w="11906"/>
      <w:pgMar w:bottom="1134" w:footer="709" w:gutter="0" w:header="709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20"/>
      </w:rPr>
      <w:fldChar w:fldCharType="begin"/>
    </w:r>
    <w:r>
      <w:rPr>
        <w:rFonts w:ascii="Arial" w:hAnsi="Arial"/>
        <w:sz w:val="20"/>
      </w:rPr>
      <w:instrText xml:space="preserve"> PAGE  \* MERGEFORMAT </w:instrText>
    </w:r>
    <w:r>
      <w:rPr>
        <w:rFonts w:ascii="Arial" w:hAnsi="Arial"/>
        <w:sz w:val="20"/>
      </w:rPr>
      <w:fldChar w:fldCharType="separate"/>
    </w:r>
    <w:r>
      <w:rPr>
        <w:rFonts w:ascii="Arial" w:hAnsi="Arial"/>
        <w:sz w:val="20"/>
      </w:rPr>
      <w:t>1</w:t>
    </w:r>
    <w:r>
      <w:rPr>
        <w:rFonts w:ascii="Arial" w:hAnsi="Arial"/>
        <w:sz w:val="20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ru-RU" w:val="ru-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BodyText" w:type="paragraph">
    <w:name w:val="Body Text"/>
    <w:basedOn w:val="Normal"/>
    <w:link w:val="BodyTextChar"/>
    <w:qFormat/>
    <w:pPr>
      <w:spacing w:after="120" w:before="18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rstParagraph" w:type="paragraph">
    <w:name w:val="First Paragraph"/>
    <w:basedOn w:val="BodyText"/>
    <w:next w:val="BodyText"/>
    <w:qFormat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Compact" w:type="paragraph">
    <w:name w:val="Compact"/>
    <w:basedOn w:val="BodyText"/>
    <w:qFormat/>
    <w:pPr>
      <w:spacing w:after="120" w:before="36" w:line="276" w:lineRule="auto"/>
    </w:pPr>
    <w:rPr>
      <w:rFonts w:ascii="Arial" w:cs="Arial" w:eastAsia="Arial" w:hAnsi="Arial"/>
      <w:sz w:val="22"/>
      <w:lang w:bidi="ar-SA" w:eastAsia="ru-RU" w:val="ru-RU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line="240" w:lineRule="auto"/>
      <w:contextualSpacing/>
      <w:jc w:val="center"/>
    </w:pPr>
    <w:rPr>
      <w:rFonts w:ascii="Arial" w:cs="Arial" w:eastAsia="Arial" w:hAnsi="Arial"/>
      <w:b/>
      <w:color w:val="12233B"/>
      <w:sz w:val="52"/>
      <w:szCs w:val="56"/>
      <w:lang w:bidi="ar-SA" w:eastAsia="ru-RU" w:val="ru-RU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40"/>
      <w:jc w:val="center"/>
    </w:pPr>
    <w:rPr>
      <w:rFonts w:ascii="Arial" w:cs="Arial" w:eastAsia="Arial" w:hAnsi="Arial"/>
      <w:b w:val="0"/>
      <w:color w:val="12233B"/>
      <w:spacing w:val="15"/>
      <w:sz w:val="28"/>
      <w:szCs w:val="28"/>
      <w:lang w:bidi="ar-SA" w:eastAsia="ru-RU" w:val="ru-RU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  <w:jc w:val="center"/>
    </w:pPr>
    <w:rPr>
      <w:rFonts w:ascii="Arial" w:cs="Arial" w:eastAsia="Arial" w:hAnsi="Arial"/>
      <w:sz w:val="24"/>
      <w:szCs w:val="24"/>
      <w:lang w:bidi="ar-SA" w:eastAsia="ru-RU" w:val="ru-RU"/>
    </w:rPr>
  </w:style>
  <w:style w:styleId="Date" w:type="paragraph">
    <w:name w:val="Date"/>
    <w:basedOn w:val="Title"/>
    <w:next w:val="BodyText"/>
    <w:qFormat/>
    <w:pPr>
      <w:keepNext/>
      <w:keepLines/>
      <w:spacing w:after="480"/>
      <w:jc w:val="center"/>
    </w:pPr>
    <w:rPr>
      <w:rFonts w:ascii="Arial" w:cs="Arial" w:eastAsia="Arial" w:hAnsi="Arial"/>
      <w:b w:val="0"/>
      <w:color w:val="404040"/>
      <w:sz w:val="24"/>
      <w:szCs w:val="24"/>
      <w:lang w:bidi="ar-SA" w:eastAsia="ru-RU" w:val="ru-RU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20" w:before="240" w:line="276" w:lineRule="auto"/>
      <w:outlineLvl w:val="0"/>
    </w:pPr>
    <w:rPr>
      <w:rFonts w:ascii="Arial" w:cs="Arial" w:eastAsia="Arial" w:hAnsi="Arial"/>
      <w:b/>
      <w:color w:val="12233B"/>
      <w:sz w:val="32"/>
      <w:szCs w:val="40"/>
      <w:lang w:bidi="ar-SA" w:eastAsia="ru-RU" w:val="ru-RU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1"/>
    </w:pPr>
    <w:rPr>
      <w:rFonts w:ascii="Arial" w:cs="Arial" w:eastAsia="Arial" w:hAnsi="Arial"/>
      <w:b/>
      <w:color w:val="12233B"/>
      <w:sz w:val="28"/>
      <w:szCs w:val="32"/>
      <w:lang w:bidi="ar-SA" w:eastAsia="ru-RU" w:val="ru-RU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2"/>
    </w:pPr>
    <w:rPr>
      <w:rFonts w:ascii="Arial" w:cs="Arial" w:eastAsia="Arial" w:hAnsi="Arial"/>
      <w:b/>
      <w:color w:val="12233B"/>
      <w:sz w:val="24"/>
      <w:szCs w:val="28"/>
      <w:lang w:bidi="ar-SA" w:eastAsia="ru-RU" w:val="ru-RU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3"/>
    </w:pPr>
    <w:rPr>
      <w:rFonts w:ascii="Arial" w:cs="Arial" w:eastAsia="Arial" w:hAnsi="Arial"/>
      <w:b/>
      <w:i/>
      <w:iCs/>
      <w:color w:val="12233B"/>
      <w:sz w:val="24"/>
      <w:lang w:bidi="ar-SA" w:eastAsia="ru-RU" w:val="ru-RU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4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5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6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7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8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00" w:line="276" w:lineRule="auto"/>
      <w:ind w:firstLine="0" w:left="480" w:right="480"/>
    </w:pPr>
    <w:rPr>
      <w:rFonts w:ascii="Arial" w:cs="Arial" w:eastAsia="Arial" w:hAnsi="Arial"/>
      <w:sz w:val="22"/>
      <w:lang w:bidi="ar-SA" w:eastAsia="ru-RU" w:val="ru-RU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pPr>
      <w:spacing w:after="60" w:line="276" w:lineRule="auto"/>
    </w:pPr>
    <w:rPr>
      <w:rFonts w:ascii="Arial" w:cs="Arial" w:eastAsia="Arial" w:hAnsi="Arial"/>
      <w:sz w:val="22"/>
      <w:lang w:bidi="ar-SA" w:eastAsia="ru-RU" w:val="ru-RU"/>
    </w:rPr>
    <w:tblPr>
      <w:tblInd w:type="dxa" w:w="0"/>
      <w:tblBorders>
        <w:top w:color="999999" w:space="0" w:sz="4" w:val="single"/>
        <w:left w:color="999999" w:space="0" w:sz="4" w:val="single"/>
        <w:bottom w:color="999999" w:space="0" w:sz="4" w:val="single"/>
        <w:right w:color="999999" w:space="0" w:sz="4" w:val="single"/>
        <w:insideH w:color="999999" w:space="0" w:sz="4" w:val="single"/>
        <w:insideV w:color="999999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120" w:line="276" w:lineRule="auto"/>
    </w:pPr>
    <w:rPr>
      <w:rFonts w:ascii="Arial" w:cs="Arial" w:eastAsia="Arial" w:hAnsi="Arial"/>
      <w:b/>
      <w:sz w:val="22"/>
      <w:lang w:bidi="ar-SA" w:eastAsia="ru-RU" w:val="ru-RU"/>
    </w:rPr>
  </w:style>
  <w:style w:customStyle="1" w:styleId="Definition" w:type="paragraph">
    <w:name w:val="Definition"/>
    <w:basedOn w:val="Normal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Caption" w:type="paragraph">
    <w:name w:val="Caption"/>
    <w:basedOn w:val="Normal"/>
    <w:link w:val="BodyTextChar"/>
    <w:pPr>
      <w:spacing w:after="120" w:before="0" w:line="276" w:lineRule="auto"/>
    </w:pPr>
    <w:rPr>
      <w:rFonts w:ascii="Arial" w:cs="Arial" w:eastAsia="Arial" w:hAnsi="Arial"/>
      <w:i/>
      <w:sz w:val="22"/>
      <w:lang w:bidi="ar-SA" w:eastAsia="ru-RU" w:val="ru-RU"/>
    </w:rPr>
  </w:style>
  <w:style w:customStyle="1" w:styleId="TableCaption" w:type="paragraph">
    <w:name w:val="Table Caption"/>
    <w:basedOn w:val="Caption"/>
    <w:pPr>
      <w:keepNext/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ImageCaption" w:type="paragraph">
    <w:name w:val="Image Caption"/>
    <w:basedOn w:val="Caption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Arial" w:cs="Arial" w:eastAsia="Arial" w:hAnsi="Arial"/>
      <w:color w:val="004A8F"/>
      <w:sz w:val="22"/>
      <w:lang w:bidi="ar-SA" w:eastAsia="ru-RU" w:val="ru-RU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/>
      <w:bCs w:val="0"/>
      <w:color w:val="12233B"/>
      <w:sz w:val="28"/>
      <w:lang w:bidi="ar-SA" w:eastAsia="ru-RU" w:val="ru-RU"/>
    </w:rPr>
  </w:style>
  <w:style w:customStyle="1" w:styleId="TOC1" w:type="paragraph">
    <w:name w:val="TOC 1"/>
    <w:basedOn w:val="Normal"/>
    <w:pPr>
      <w:tabs>
        <w:tab w:leader="dot" w:pos="9638" w:val="right"/>
      </w:tabs>
      <w:spacing w:after="40" w:before="0" w:line="276" w:lineRule="auto"/>
      <w:ind w:left="0"/>
    </w:pPr>
    <w:rPr>
      <w:rFonts w:ascii="Arial" w:cs="Arial" w:eastAsia="Arial" w:hAnsi="Arial"/>
      <w:b/>
      <w:sz w:val="22"/>
      <w:lang w:bidi="ar-SA" w:eastAsia="ru-RU" w:val="ru-RU"/>
    </w:rPr>
  </w:style>
  <w:style w:customStyle="1" w:styleId="TOC2" w:type="paragraph">
    <w:name w:val="TOC 2"/>
    <w:basedOn w:val="Normal"/>
    <w:pPr>
      <w:tabs>
        <w:tab w:leader="dot" w:pos="9638" w:val="right"/>
      </w:tabs>
      <w:spacing w:after="40" w:before="0" w:line="276" w:lineRule="auto"/>
      <w:ind w:left="283"/>
    </w:pPr>
    <w:rPr>
      <w:rFonts w:ascii="Arial" w:cs="Arial" w:eastAsia="Arial" w:hAnsi="Arial"/>
      <w:b w:val="0"/>
      <w:sz w:val="22"/>
      <w:lang w:bidi="ar-SA" w:eastAsia="ru-RU" w:val="ru-RU"/>
    </w:rPr>
  </w:style>
  <w:style w:customStyle="1" w:styleId="TOC3" w:type="paragraph">
    <w:name w:val="TOC 3"/>
    <w:basedOn w:val="Normal"/>
    <w:pPr>
      <w:tabs>
        <w:tab w:leader="dot" w:pos="9638" w:val="right"/>
      </w:tabs>
      <w:spacing w:after="40" w:before="0" w:line="276" w:lineRule="auto"/>
      <w:ind w:left="567"/>
    </w:pPr>
    <w:rPr>
      <w:rFonts w:ascii="Arial" w:cs="Arial" w:eastAsia="Arial" w:hAnsi="Arial"/>
      <w:b w:val="0"/>
      <w:sz w:val="22"/>
      <w:lang w:bidi="ar-SA" w:eastAsia="ru-RU" w:val="ru-RU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7" Type="http://schemas.openxmlformats.org/officeDocument/2006/relationships/numbering" Target="numbering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webSettings" Target="web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notes" Target="footnotes.xml"/><Relationship Id="rId10" Type="http://schemas.openxmlformats.org/officeDocument/2006/relationships/comments" Target="comments.xml"/><Relationship Id="rId9" Type="http://schemas.openxmlformats.org/officeDocument/2006/relationships/footer" Target="footer1.xml"/><Relationship Id="rId47" Type="http://schemas.openxmlformats.org/officeDocument/2006/relationships/hyperlink" Target="https://www.w3.org/TR/WCAG22/#accessible-authentication-minimum" TargetMode="External"/><Relationship Id="rId56" Type="http://schemas.openxmlformats.org/officeDocument/2006/relationships/hyperlink" Target="https://www.w3.org/TR/WCAG22/#consistent-help" TargetMode="External"/><Relationship Id="rId58" Type="http://schemas.openxmlformats.org/officeDocument/2006/relationships/hyperlink" Target="https://www.w3.org/TR/WCAG22/#dragging-movements" TargetMode="External"/><Relationship Id="rId36" Type="http://schemas.openxmlformats.org/officeDocument/2006/relationships/hyperlink" Target="https://www.w3.org/TR/WCAG22/#error-identification" TargetMode="External"/><Relationship Id="rId54" Type="http://schemas.openxmlformats.org/officeDocument/2006/relationships/hyperlink" Target="https://www.w3.org/TR/WCAG22/#error-prevention-legal-financial-data" TargetMode="External"/><Relationship Id="rId37" Type="http://schemas.openxmlformats.org/officeDocument/2006/relationships/hyperlink" Target="https://www.w3.org/TR/WCAG22/#error-suggestion" TargetMode="External"/><Relationship Id="rId26" Type="http://schemas.openxmlformats.org/officeDocument/2006/relationships/hyperlink" Target="https://www.w3.org/TR/WCAG22/#focus-order" TargetMode="External"/><Relationship Id="rId29" Type="http://schemas.openxmlformats.org/officeDocument/2006/relationships/hyperlink" Target="https://www.w3.org/TR/WCAG22/#headings-and-labels" TargetMode="External"/><Relationship Id="rId23" Type="http://schemas.openxmlformats.org/officeDocument/2006/relationships/hyperlink" Target="https://www.w3.org/TR/WCAG22/#keyboard" TargetMode="External"/><Relationship Id="rId34" Type="http://schemas.openxmlformats.org/officeDocument/2006/relationships/hyperlink" Target="https://www.w3.org/TR/WCAG22/#label-in-name" TargetMode="External"/><Relationship Id="rId33" Type="http://schemas.openxmlformats.org/officeDocument/2006/relationships/hyperlink" Target="https://www.w3.org/TR/WCAG22/#labels-or-instructions" TargetMode="External"/><Relationship Id="rId60" Type="http://schemas.openxmlformats.org/officeDocument/2006/relationships/hyperlink" Target="https://www.w3.org/TR/WCAG22/#link-purpose-in-context" TargetMode="External"/><Relationship Id="rId27" Type="http://schemas.openxmlformats.org/officeDocument/2006/relationships/hyperlink" Target="https://www.w3.org/TR/WCAG22/#name-role-value" TargetMode="External"/><Relationship Id="rId24" Type="http://schemas.openxmlformats.org/officeDocument/2006/relationships/hyperlink" Target="https://www.w3.org/TR/WCAG22/#no-keyboard-trap" TargetMode="External"/><Relationship Id="rId49" Type="http://schemas.openxmlformats.org/officeDocument/2006/relationships/hyperlink" Target="https://www.w3.org/TR/WCAG22/#non-text-content" TargetMode="External"/><Relationship Id="rId43" Type="http://schemas.openxmlformats.org/officeDocument/2006/relationships/hyperlink" Target="https://www.w3.org/TR/WCAG22/#re-authenticating" TargetMode="External"/><Relationship Id="rId45" Type="http://schemas.openxmlformats.org/officeDocument/2006/relationships/hyperlink" Target="https://www.w3.org/TR/WCAG22/#redundant-entry" TargetMode="External"/><Relationship Id="rId63" Type="http://schemas.openxmlformats.org/officeDocument/2006/relationships/hyperlink" Target="https://www.w3.org/TR/WCAG22/#sensory-characteristics" TargetMode="External"/><Relationship Id="rId39" Type="http://schemas.openxmlformats.org/officeDocument/2006/relationships/hyperlink" Target="https://www.w3.org/TR/WCAG22/#status-messages" TargetMode="External"/><Relationship Id="rId41" Type="http://schemas.openxmlformats.org/officeDocument/2006/relationships/hyperlink" Target="https://www.w3.org/TR/WCAG22/#timing-adjustable" TargetMode="External"/><Relationship Id="rId64" Type="http://schemas.openxmlformats.org/officeDocument/2006/relationships/hyperlink" Target="https://www.w3.org/TR/WCAG22/#use-of-color" TargetMode="External"/><Relationship Id="rId31" Type="http://schemas.openxmlformats.org/officeDocument/2006/relationships/hyperlink" Target="https://www.w3.org/TR/coga-usable/#let-users-go-back" TargetMode="External"/><Relationship Id="rId30" Type="http://schemas.openxmlformats.org/officeDocument/2006/relationships/hyperlink" Target="https://www.w3.org/TR/coga-usable/#make-each-step-clear" TargetMode="External"/><Relationship Id="rId21" Type="http://schemas.openxmlformats.org/officeDocument/2006/relationships/hyperlink" Target="https://www.w3.org/TR/wcag-em-2/#step3c" TargetMode="External"/><Relationship Id="rId51" Type="http://schemas.openxmlformats.org/officeDocument/2006/relationships/hyperlink" Target="https://www.w3.org/WAI/WCAG22/Understanding/accessible-authentication-minimum.html" TargetMode="External"/><Relationship Id="rId20" Type="http://schemas.openxmlformats.org/officeDocument/2006/relationships/hyperlink" Target="https://www.w3.org/WAI/WCAG22/Understanding/conformance" TargetMode="External"/><Relationship Id="rId18" Type="http://schemas.openxmlformats.org/officeDocument/2006/relationships/hyperlink" Target="metodika-ocenki.docx" TargetMode="External"/></Relationships>
</file>

<file path=word/_rels/footnotes.xml.rels><?xml version='1.0' encoding='UTF-8' standalone='yes'?>
<Relationships xmlns="http://schemas.openxmlformats.org/package/2006/relationships"><Relationship Id="rId47" Type="http://schemas.openxmlformats.org/officeDocument/2006/relationships/hyperlink" Target="https://www.w3.org/TR/WCAG22/#accessible-authentication-minimum" TargetMode="External"/><Relationship Id="rId56" Type="http://schemas.openxmlformats.org/officeDocument/2006/relationships/hyperlink" Target="https://www.w3.org/TR/WCAG22/#consistent-help" TargetMode="External"/><Relationship Id="rId58" Type="http://schemas.openxmlformats.org/officeDocument/2006/relationships/hyperlink" Target="https://www.w3.org/TR/WCAG22/#dragging-movements" TargetMode="External"/><Relationship Id="rId36" Type="http://schemas.openxmlformats.org/officeDocument/2006/relationships/hyperlink" Target="https://www.w3.org/TR/WCAG22/#error-identification" TargetMode="External"/><Relationship Id="rId54" Type="http://schemas.openxmlformats.org/officeDocument/2006/relationships/hyperlink" Target="https://www.w3.org/TR/WCAG22/#error-prevention-legal-financial-data" TargetMode="External"/><Relationship Id="rId37" Type="http://schemas.openxmlformats.org/officeDocument/2006/relationships/hyperlink" Target="https://www.w3.org/TR/WCAG22/#error-suggestion" TargetMode="External"/><Relationship Id="rId26" Type="http://schemas.openxmlformats.org/officeDocument/2006/relationships/hyperlink" Target="https://www.w3.org/TR/WCAG22/#focus-order" TargetMode="External"/><Relationship Id="rId29" Type="http://schemas.openxmlformats.org/officeDocument/2006/relationships/hyperlink" Target="https://www.w3.org/TR/WCAG22/#headings-and-labels" TargetMode="External"/><Relationship Id="rId23" Type="http://schemas.openxmlformats.org/officeDocument/2006/relationships/hyperlink" Target="https://www.w3.org/TR/WCAG22/#keyboard" TargetMode="External"/><Relationship Id="rId34" Type="http://schemas.openxmlformats.org/officeDocument/2006/relationships/hyperlink" Target="https://www.w3.org/TR/WCAG22/#label-in-name" TargetMode="External"/><Relationship Id="rId33" Type="http://schemas.openxmlformats.org/officeDocument/2006/relationships/hyperlink" Target="https://www.w3.org/TR/WCAG22/#labels-or-instructions" TargetMode="External"/><Relationship Id="rId60" Type="http://schemas.openxmlformats.org/officeDocument/2006/relationships/hyperlink" Target="https://www.w3.org/TR/WCAG22/#link-purpose-in-context" TargetMode="External"/><Relationship Id="rId27" Type="http://schemas.openxmlformats.org/officeDocument/2006/relationships/hyperlink" Target="https://www.w3.org/TR/WCAG22/#name-role-value" TargetMode="External"/><Relationship Id="rId24" Type="http://schemas.openxmlformats.org/officeDocument/2006/relationships/hyperlink" Target="https://www.w3.org/TR/WCAG22/#no-keyboard-trap" TargetMode="External"/><Relationship Id="rId49" Type="http://schemas.openxmlformats.org/officeDocument/2006/relationships/hyperlink" Target="https://www.w3.org/TR/WCAG22/#non-text-content" TargetMode="External"/><Relationship Id="rId43" Type="http://schemas.openxmlformats.org/officeDocument/2006/relationships/hyperlink" Target="https://www.w3.org/TR/WCAG22/#re-authenticating" TargetMode="External"/><Relationship Id="rId45" Type="http://schemas.openxmlformats.org/officeDocument/2006/relationships/hyperlink" Target="https://www.w3.org/TR/WCAG22/#redundant-entry" TargetMode="External"/><Relationship Id="rId63" Type="http://schemas.openxmlformats.org/officeDocument/2006/relationships/hyperlink" Target="https://www.w3.org/TR/WCAG22/#sensory-characteristics" TargetMode="External"/><Relationship Id="rId39" Type="http://schemas.openxmlformats.org/officeDocument/2006/relationships/hyperlink" Target="https://www.w3.org/TR/WCAG22/#status-messages" TargetMode="External"/><Relationship Id="rId41" Type="http://schemas.openxmlformats.org/officeDocument/2006/relationships/hyperlink" Target="https://www.w3.org/TR/WCAG22/#timing-adjustable" TargetMode="External"/><Relationship Id="rId64" Type="http://schemas.openxmlformats.org/officeDocument/2006/relationships/hyperlink" Target="https://www.w3.org/TR/WCAG22/#use-of-color" TargetMode="External"/><Relationship Id="rId31" Type="http://schemas.openxmlformats.org/officeDocument/2006/relationships/hyperlink" Target="https://www.w3.org/TR/coga-usable/#let-users-go-back" TargetMode="External"/><Relationship Id="rId30" Type="http://schemas.openxmlformats.org/officeDocument/2006/relationships/hyperlink" Target="https://www.w3.org/TR/coga-usable/#make-each-step-clear" TargetMode="External"/><Relationship Id="rId21" Type="http://schemas.openxmlformats.org/officeDocument/2006/relationships/hyperlink" Target="https://www.w3.org/TR/wcag-em-2/#step3c" TargetMode="External"/><Relationship Id="rId51" Type="http://schemas.openxmlformats.org/officeDocument/2006/relationships/hyperlink" Target="https://www.w3.org/WAI/WCAG22/Understanding/accessible-authentication-minimum.html" TargetMode="External"/><Relationship Id="rId20" Type="http://schemas.openxmlformats.org/officeDocument/2006/relationships/hyperlink" Target="https://www.w3.org/WAI/WCAG22/Understanding/conformance" TargetMode="External"/><Relationship Id="rId18" Type="http://schemas.openxmlformats.org/officeDocument/2006/relationships/hyperlink" Target="&#1052;&#1077;&#1090;&#1086;&#1076;&#1086;&#1083;&#1086;&#1075;&#1080;&#1103;_&#1086;&#1094;&#1077;&#1085;&#1082;&#1080;_&#1076;&#1086;&#1089;&#1090;&#1091;&#1087;&#1085;&#1086;&#1089;&#1090;&#1080;_&#1094;&#1080;&#1092;&#1088;&#1086;&#1074;&#1099;&#1093;_&#1088;&#1077;&#1089;&#1091;&#1088;&#1089;&#1086;&#1074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0.1</AppVersion>
  <LinksUpToDate>false</LinksUpToDate>
  <Application>Проект «Доступно»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Протоколы проверок цифровых сервисов</dc:title>
  <dc:creator/>
  <dc:language>ru-RU</dc:language>
  <cp:keywords/>
  <dcterms:created xsi:type="dcterms:W3CDTF">2026-09-24T10:52:49Z</dcterms:created>
  <dcterms:modified xsi:type="dcterms:W3CDTF">2026-09-24T10:52:49Z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Сентябрь 2026 года</vt:lpwstr>
  </property>
  <property fmtid="{D5CDD505-2E9C-101B-9397-08002B2CF9AE}" pid="3" name="subtitle">
    <vt:lpwstr>Проект для обсуждения. Редакция 0.1</vt:lpwstr>
  </property>
</Properties>
</file>