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Протоколы проверок настольного программного обеспечения</w:t>
      </w:r>
    </w:p>
    <w:p>
      <w:pPr>
        <w:pStyle w:val="Subtitle"/>
      </w:pPr>
      <w:r>
        <w:t xml:space="preserve">Проект для обсуждения. Редакция 0.1</w:t>
      </w:r>
    </w:p>
    <w:p>
      <w:pPr>
        <w:pStyle w:val="Date"/>
      </w:pPr>
      <w:r>
        <w:t xml:space="preserve">Сентябрь 2026 года</w:t>
      </w:r>
    </w:p>
    <w:sdt>
      <w:sdtPr>
        <w:docPartObj>
          <w:docPartGallery w:val="Table of Contents"/>
          <w:docPartUnique/>
        </w:docPartObj>
      </w:sdtPr>
      <w:sdtContent>
        <w:p>
          <w:pPr>
            <w:pStyle w:val="TOCHeading"/>
          </w:pPr>
          <w:r>
            <w:t xml:space="preserve">Оглавление</w:t>
          </w:r>
        </w:p>
        <w:p>
          <w:r>
            <w:fldChar w:fldCharType="begin"/>
          </w:r>
          <w:r>
            <w:instrText xml:space="preserve">TOC \o "1-3" \h \z \u</w:instrText>
          </w:r>
          <w:r>
            <w:fldChar w:fldCharType="separate"/>
          </w:r>
        </w:p>
        <w:p>
          <w:pPr>
            <w:pStyle w:val="TOC2"/>
            <w:tabs>
              <w:tab w:val="right" w:leader="dot" w:pos="9638"/>
            </w:tabs>
          </w:pPr>
          <w:hyperlink w:anchor="_TocAnchor4_2013" w:history="1">
            <w:r>
              <w:t xml:space="preserve">Зачем нужны протоколы и как ими пользоваться</w:t>
            </w:r>
          </w:hyperlink>
          <w:r>
            <w:tab/>
            <w:t>2</w:t>
          </w:r>
        </w:p>
        <w:p>
          <w:pPr>
            <w:pStyle w:val="TOC2"/>
            <w:tabs>
              <w:tab w:val="right" w:leader="dot" w:pos="9638"/>
            </w:tabs>
          </w:pPr>
          <w:hyperlink w:anchor="_TocAnchor13_2015" w:history="1">
            <w:r>
              <w:t xml:space="preserve">Протоколы</w:t>
            </w:r>
          </w:hyperlink>
          <w:r>
            <w:tab/>
            <w:t>2</w:t>
          </w:r>
        </w:p>
        <w:p>
          <w:pPr>
            <w:pStyle w:val="TOC3"/>
            <w:tabs>
              <w:tab w:val="right" w:leader="dot" w:pos="9638"/>
            </w:tabs>
          </w:pPr>
          <w:hyperlink w:anchor="_TocAnchor14_2017" w:history="1">
            <w:r>
              <w:t xml:space="preserve">Г-01. Имя, роль, состояние, значение, связи и действия</w:t>
            </w:r>
          </w:hyperlink>
          <w:r>
            <w:tab/>
            <w:t>2</w:t>
          </w:r>
        </w:p>
        <w:p>
          <w:pPr>
            <w:pStyle w:val="TOC3"/>
            <w:tabs>
              <w:tab w:val="right" w:leader="dot" w:pos="9638"/>
            </w:tabs>
          </w:pPr>
          <w:hyperlink w:anchor="_TocAnchor23_2019" w:history="1">
            <w:r>
              <w:t xml:space="preserve">Г-02. Виртуализированное содержимое и невидимые объекты</w:t>
            </w:r>
          </w:hyperlink>
          <w:r>
            <w:tab/>
            <w:t>3</w:t>
          </w:r>
        </w:p>
        <w:p>
          <w:pPr>
            <w:pStyle w:val="TOC3"/>
            <w:tabs>
              <w:tab w:val="right" w:leader="dot" w:pos="9638"/>
            </w:tabs>
          </w:pPr>
          <w:hyperlink w:anchor="_TocAnchor32_2021" w:history="1">
            <w:r>
              <w:t xml:space="preserve">Г-03. Клавиатура и отсутствие ловушек</w:t>
            </w:r>
          </w:hyperlink>
          <w:r>
            <w:tab/>
            <w:t>3</w:t>
          </w:r>
        </w:p>
        <w:p>
          <w:pPr>
            <w:pStyle w:val="TOC3"/>
            <w:tabs>
              <w:tab w:val="right" w:leader="dot" w:pos="9638"/>
            </w:tabs>
          </w:pPr>
          <w:hyperlink w:anchor="_TocAnchor41_2023" w:history="1">
            <w:r>
              <w:t xml:space="preserve">Г-04. Видимость, порядок и устойчивость фокуса</w:t>
            </w:r>
          </w:hyperlink>
          <w:r>
            <w:tab/>
            <w:t>4</w:t>
          </w:r>
        </w:p>
        <w:p>
          <w:pPr>
            <w:pStyle w:val="TOC3"/>
            <w:tabs>
              <w:tab w:val="right" w:leader="dot" w:pos="9638"/>
            </w:tabs>
          </w:pPr>
          <w:hyperlink w:anchor="_TocAnchor50_2025" w:history="1">
            <w:r>
              <w:t xml:space="preserve">Г-05. Меню, панели, ленты и сложные элементы</w:t>
            </w:r>
          </w:hyperlink>
          <w:r>
            <w:tab/>
            <w:t>4</w:t>
          </w:r>
        </w:p>
        <w:p>
          <w:pPr>
            <w:pStyle w:val="TOC3"/>
            <w:tabs>
              <w:tab w:val="right" w:leader="dot" w:pos="9638"/>
            </w:tabs>
          </w:pPr>
          <w:hyperlink w:anchor="_TocAnchor59_2027" w:history="1">
            <w:r>
              <w:t xml:space="preserve">Г-06. Диалоги и перенос фокуса</w:t>
            </w:r>
          </w:hyperlink>
          <w:r>
            <w:tab/>
            <w:t>5</w:t>
          </w:r>
        </w:p>
        <w:p>
          <w:pPr>
            <w:pStyle w:val="TOC3"/>
            <w:tabs>
              <w:tab w:val="right" w:leader="dot" w:pos="9638"/>
            </w:tabs>
          </w:pPr>
          <w:hyperlink w:anchor="_TocAnchor68_2029" w:history="1">
            <w:r>
              <w:t xml:space="preserve">Г-07. Уведомления, состояния, ошибки и прогресс</w:t>
            </w:r>
          </w:hyperlink>
          <w:r>
            <w:tab/>
            <w:t>5</w:t>
          </w:r>
        </w:p>
        <w:p>
          <w:pPr>
            <w:pStyle w:val="TOC3"/>
            <w:tabs>
              <w:tab w:val="right" w:leader="dot" w:pos="9638"/>
            </w:tabs>
          </w:pPr>
          <w:hyperlink w:anchor="_TocAnchor77_2031" w:history="1">
            <w:r>
              <w:t xml:space="preserve">Г-08. Системные настройки доступности</w:t>
            </w:r>
          </w:hyperlink>
          <w:r>
            <w:tab/>
            <w:t>5</w:t>
          </w:r>
        </w:p>
        <w:p>
          <w:pPr>
            <w:pStyle w:val="TOC3"/>
            <w:tabs>
              <w:tab w:val="right" w:leader="dot" w:pos="9638"/>
            </w:tabs>
          </w:pPr>
          <w:hyperlink w:anchor="_TocAnchor86_2033" w:history="1">
            <w:r>
              <w:t xml:space="preserve">Г-09. Масштабирование и перекомпоновка без потери функций</w:t>
            </w:r>
          </w:hyperlink>
          <w:r>
            <w:tab/>
            <w:t>6</w:t>
          </w:r>
        </w:p>
        <w:p>
          <w:pPr>
            <w:pStyle w:val="TOC3"/>
            <w:tabs>
              <w:tab w:val="right" w:leader="dot" w:pos="9638"/>
            </w:tabs>
          </w:pPr>
          <w:hyperlink w:anchor="_TocAnchor95_2035" w:history="1">
            <w:r>
              <w:t xml:space="preserve">Г-10. Контраст и передача смысла</w:t>
            </w:r>
          </w:hyperlink>
          <w:r>
            <w:tab/>
            <w:t>7</w:t>
          </w:r>
        </w:p>
        <w:p>
          <w:pPr>
            <w:pStyle w:val="TOC3"/>
            <w:tabs>
              <w:tab w:val="right" w:leader="dot" w:pos="9638"/>
            </w:tabs>
          </w:pPr>
          <w:hyperlink w:anchor="_TocAnchor104_2037" w:history="1">
            <w:r>
              <w:t xml:space="preserve">Г-11. Горячие клавиши и конфликты</w:t>
            </w:r>
          </w:hyperlink>
          <w:r>
            <w:tab/>
            <w:t>7</w:t>
          </w:r>
        </w:p>
        <w:p>
          <w:pPr>
            <w:pStyle w:val="TOC3"/>
            <w:tabs>
              <w:tab w:val="right" w:leader="dot" w:pos="9638"/>
            </w:tabs>
          </w:pPr>
          <w:hyperlink w:anchor="_TocAnchor113_2039" w:history="1">
            <w:r>
              <w:t xml:space="preserve">Г-12. Альтернативный ввод, перетаскивание и размер цели</w:t>
            </w:r>
          </w:hyperlink>
          <w:r>
            <w:tab/>
            <w:t>8</w:t>
          </w:r>
        </w:p>
        <w:p>
          <w:pPr>
            <w:pStyle w:val="TOC3"/>
            <w:tabs>
              <w:tab w:val="right" w:leader="dot" w:pos="9638"/>
            </w:tabs>
          </w:pPr>
          <w:hyperlink w:anchor="_TocAnchor122_2041" w:history="1">
            <w:r>
              <w:t xml:space="preserve">Г-13. Время, движение и вспышки</w:t>
            </w:r>
          </w:hyperlink>
          <w:r>
            <w:tab/>
            <w:t>9</w:t>
          </w:r>
        </w:p>
        <w:p>
          <w:pPr>
            <w:pStyle w:val="TOC3"/>
            <w:tabs>
              <w:tab w:val="right" w:leader="dot" w:pos="9638"/>
            </w:tabs>
          </w:pPr>
          <w:hyperlink w:anchor="_TocAnchor131_2043" w:history="1">
            <w:r>
              <w:t xml:space="preserve">Г-14. Ввод и редактирование текста</w:t>
            </w:r>
          </w:hyperlink>
          <w:r>
            <w:tab/>
            <w:t>9</w:t>
          </w:r>
        </w:p>
        <w:p>
          <w:pPr>
            <w:pStyle w:val="TOC3"/>
            <w:tabs>
              <w:tab w:val="right" w:leader="dot" w:pos="9638"/>
            </w:tabs>
          </w:pPr>
          <w:hyperlink w:anchor="_TocAnchor140_2045" w:history="1">
            <w:r>
              <w:t xml:space="preserve">Г-15. Сценарии текстового редактора</w:t>
            </w:r>
          </w:hyperlink>
          <w:r>
            <w:tab/>
            <w:t>10</w:t>
          </w:r>
        </w:p>
        <w:p>
          <w:pPr>
            <w:pStyle w:val="TOC3"/>
            <w:tabs>
              <w:tab w:val="right" w:leader="dot" w:pos="9638"/>
            </w:tabs>
          </w:pPr>
          <w:hyperlink w:anchor="_TocAnchor149_2047" w:history="1">
            <w:r>
              <w:t xml:space="preserve">Г-16. Сценарии табличного редактора</w:t>
            </w:r>
          </w:hyperlink>
          <w:r>
            <w:tab/>
            <w:t>11</w:t>
          </w:r>
        </w:p>
        <w:p>
          <w:pPr>
            <w:pStyle w:val="TOC3"/>
            <w:tabs>
              <w:tab w:val="right" w:leader="dot" w:pos="9638"/>
            </w:tabs>
          </w:pPr>
          <w:hyperlink w:anchor="_TocAnchor158_2049" w:history="1">
            <w:r>
              <w:t xml:space="preserve">Г-17. Сценарии редактора презентаций</w:t>
            </w:r>
          </w:hyperlink>
          <w:r>
            <w:tab/>
            <w:t>11</w:t>
          </w:r>
        </w:p>
        <w:p>
          <w:pPr>
            <w:pStyle w:val="TOC3"/>
            <w:tabs>
              <w:tab w:val="right" w:leader="dot" w:pos="9638"/>
            </w:tabs>
          </w:pPr>
          <w:hyperlink w:anchor="_TocAnchor167_2051" w:history="1">
            <w:r>
              <w:t xml:space="preserve">Г-18. Документация, справка и совместимость</w:t>
            </w:r>
          </w:hyperlink>
          <w:r>
            <w:tab/>
            <w:t>12</w:t>
          </w:r>
        </w:p>
        <w:p>
          <w:pPr>
            <w:pStyle w:val="TOC3"/>
            <w:tabs>
              <w:tab w:val="right" w:leader="dot" w:pos="9638"/>
            </w:tabs>
          </w:pPr>
          <w:hyperlink w:anchor="_TocAnchor176_2053" w:history="1">
            <w:r>
              <w:t xml:space="preserve">Г-19. Ошибки, отмена и подтверждение</w:t>
            </w:r>
          </w:hyperlink>
          <w:r>
            <w:tab/>
            <w:t>13</w:t>
          </w:r>
        </w:p>
        <w:p>
          <w:pPr>
            <w:pStyle w:val="TOC3"/>
            <w:tabs>
              <w:tab w:val="right" w:leader="dot" w:pos="9638"/>
            </w:tabs>
          </w:pPr>
          <w:hyperlink w:anchor="_TocAnchor185_2055" w:history="1">
            <w:r>
              <w:t xml:space="preserve">Г-20. Встроенная проверка доступности</w:t>
            </w:r>
          </w:hyperlink>
          <w:r>
            <w:tab/>
            <w:t>13</w:t>
          </w:r>
        </w:p>
        <w:p>
          <w:pPr>
            <w:pStyle w:val="TOC3"/>
            <w:tabs>
              <w:tab w:val="right" w:leader="dot" w:pos="9638"/>
            </w:tabs>
          </w:pPr>
          <w:hyperlink w:anchor="_TocAnchor194_2057" w:history="1">
            <w:r>
              <w:t xml:space="preserve">Г-21. Создание структуры, языка и ссылок</w:t>
            </w:r>
          </w:hyperlink>
          <w:r>
            <w:tab/>
            <w:t>14</w:t>
          </w:r>
        </w:p>
        <w:p>
          <w:pPr>
            <w:pStyle w:val="TOC3"/>
            <w:tabs>
              <w:tab w:val="right" w:leader="dot" w:pos="9638"/>
            </w:tabs>
          </w:pPr>
          <w:hyperlink w:anchor="_TocAnchor203_2059" w:history="1">
            <w:r>
              <w:t xml:space="preserve">Г-22. Альтернативный текст и сложная графика</w:t>
            </w:r>
          </w:hyperlink>
          <w:r>
            <w:tab/>
            <w:t>15</w:t>
          </w:r>
        </w:p>
        <w:p>
          <w:pPr>
            <w:pStyle w:val="TOC3"/>
            <w:tabs>
              <w:tab w:val="right" w:leader="dot" w:pos="9638"/>
            </w:tabs>
          </w:pPr>
          <w:hyperlink w:anchor="_TocAnchor212_2061" w:history="1">
            <w:r>
              <w:t xml:space="preserve">Г-23. Создание семантических таблиц</w:t>
            </w:r>
          </w:hyperlink>
          <w:r>
            <w:tab/>
            <w:t>15</w:t>
          </w:r>
        </w:p>
        <w:p>
          <w:pPr>
            <w:pStyle w:val="TOC3"/>
            <w:tabs>
              <w:tab w:val="right" w:leader="dot" w:pos="9638"/>
            </w:tabs>
          </w:pPr>
          <w:hyperlink w:anchor="_TocAnchor221_2063" w:history="1">
            <w:r>
              <w:t xml:space="preserve">Г-24. Контраст содержимого и доступные шаблоны</w:t>
            </w:r>
          </w:hyperlink>
          <w:r>
            <w:tab/>
            <w:t>16</w:t>
          </w:r>
        </w:p>
        <w:p>
          <w:pPr>
            <w:pStyle w:val="TOC3"/>
            <w:tabs>
              <w:tab w:val="right" w:leader="dot" w:pos="9638"/>
            </w:tabs>
          </w:pPr>
          <w:hyperlink w:anchor="_TocAnchor230_2065" w:history="1">
            <w:r>
              <w:t xml:space="preserve">Г-25. Создание мультимедийных альтернатив</w:t>
            </w:r>
          </w:hyperlink>
          <w:r>
            <w:tab/>
            <w:t>16</w:t>
          </w:r>
        </w:p>
        <w:p>
          <w:pPr>
            <w:pStyle w:val="TOC3"/>
            <w:tabs>
              <w:tab w:val="right" w:leader="dot" w:pos="9638"/>
            </w:tabs>
          </w:pPr>
          <w:hyperlink w:anchor="_TocAnchor239_2067" w:history="1">
            <w:r>
              <w:t xml:space="preserve">Г-26. Сохранение семантики при повторном сохранении</w:t>
            </w:r>
          </w:hyperlink>
          <w:r>
            <w:tab/>
            <w:t>17</w:t>
          </w:r>
        </w:p>
        <w:p>
          <w:pPr>
            <w:pStyle w:val="TOC3"/>
            <w:tabs>
              <w:tab w:val="right" w:leader="dot" w:pos="9638"/>
            </w:tabs>
          </w:pPr>
          <w:hyperlink w:anchor="_TocAnchor248_2069" w:history="1">
            <w:r>
              <w:t xml:space="preserve">Г-27. Экспорт доступного результата</w:t>
            </w:r>
          </w:hyperlink>
          <w:r>
            <w:tab/>
            <w:t>17</w:t>
          </w:r>
        </w:p>
        <w:p>
          <w:pPr>
            <w:pStyle w:val="TOC3"/>
            <w:tabs>
              <w:tab w:val="right" w:leader="dot" w:pos="9638"/>
            </w:tabs>
          </w:pPr>
          <w:hyperlink w:anchor="_TocAnchor257_2071" w:history="1">
            <w:r>
              <w:t xml:space="preserve">Г-28. Регрессионный контроль доступности</w:t>
            </w:r>
          </w:hyperlink>
          <w:r>
            <w:tab/>
            <w:t>18</w:t>
          </w:r>
        </w:p>
        <w:p>
          <w:pPr>
            <w:pStyle w:val="TOC3"/>
            <w:tabs>
              <w:tab w:val="right" w:leader="dot" w:pos="9638"/>
            </w:tabs>
          </w:pPr>
          <w:hyperlink w:anchor="_TocAnchor266_2073" w:history="1">
            <w:r>
              <w:t xml:space="preserve">Г-29. Встроенное чтение вслух</w:t>
            </w:r>
          </w:hyperlink>
          <w:r>
            <w:tab/>
            <w:t>18</w:t>
          </w:r>
        </w:p>
        <w:p>
          <w:r>
            <w:fldChar w:fldCharType="end"/>
          </w:r>
        </w:p>
      </w:sdtContent>
    </w:sdt>
    <w:p>
      <w:pPr>
        <w:pStyle w:val="FirstParagraph"/>
      </w:pPr>
      <w:r>
        <w:rPr>
          <w:b/>
          <w:bCs/>
        </w:rPr>
        <w:t xml:space="preserve">Версия:</w:t>
      </w:r>
      <w:r>
        <w:t xml:space="preserve"> </w:t>
      </w:r>
      <w:r>
        <w:t xml:space="preserve">0.1</w:t>
      </w:r>
      <w:r>
        <w:br/>
      </w:r>
      <w:r>
        <w:rPr>
          <w:b/>
          <w:bCs/>
        </w:rPr>
        <w:t xml:space="preserve">Дата:</w:t>
      </w:r>
      <w:r>
        <w:t xml:space="preserve"> </w:t>
      </w:r>
      <w:r>
        <w:t xml:space="preserve">23 сентября 2026 года</w:t>
      </w:r>
      <w:r>
        <w:br/>
      </w:r>
      <w:r>
        <w:rPr>
          <w:b/>
          <w:bCs/>
        </w:rPr>
        <w:t xml:space="preserve">Статус:</w:t>
      </w:r>
      <w:r>
        <w:t xml:space="preserve"> </w:t>
      </w:r>
      <w:r>
        <w:t xml:space="preserve">приложение к методологии оценки, проект для обсуждения и апробации. Это не утвержденный стандарт, нормативный правовой акт или сертификат.</w:t>
      </w:r>
    </w:p>
    <w:bookmarkStart w:id="19" w:name="X7f63c22228cc384033f81f4ef5e0e57e1d04e93"/>
    <w:p>
      <w:pPr>
        <w:pStyle w:val="Heading2"/>
      </w:pPr>
      <w:bookmarkStart w:id="2014" w:name="_TocAnchor4_2013"/>
      <w:r>
        <w:t xml:space="preserve">Зачем нужны протоколы и как ими пользоваться</w:t>
      </w:r>
      <w:bookmarkEnd w:id="2014"/>
    </w:p>
    <w:p>
      <w:pPr>
        <w:pStyle w:val="FirstParagraph"/>
      </w:pPr>
      <w:r>
        <w:t xml:space="preserve">Приложение задает одинаковую процедуру для проверок Г-01-Г-29 раздела Г</w:t>
      </w:r>
      <w:r>
        <w:t xml:space="preserve"> </w:t>
      </w:r>
      <w:hyperlink r:id="rId18">
        <w:r>
          <w:rPr>
            <w:rStyle w:val="Hyperlink"/>
          </w:rPr>
          <w:t xml:space="preserve">«Методологии оценки доступности цифровых ресурсов»</w:t>
        </w:r>
      </w:hyperlink>
      <w:r>
        <w:t xml:space="preserve">. Методология определяет объект, инвентаризацию, выборку, конфигурации, доказательства, серьезность и границы вывода. Этот файл определяет действия оценщика в выбранном окне, режиме или сценарии.</w:t>
      </w:r>
    </w:p>
    <w:p>
      <w:pPr>
        <w:pStyle w:val="BodyText"/>
      </w:pPr>
      <w:r>
        <w:t xml:space="preserve">Каждая карточка заканчивается одним итоговым статусом: прохождение, нарушение, NA или не проверено. Если карточка содержит несколько условий, для каждого условия сначала записывается внутренний подрезультат, а затем применяется одно правило агрегации:</w:t>
      </w:r>
    </w:p>
    <w:p>
      <w:pPr>
        <w:pStyle w:val="Compact"/>
        <w:numPr>
          <w:ilvl w:val="0"/>
          <w:numId w:val="1001"/>
        </w:numPr>
      </w:pPr>
      <w:r>
        <w:t xml:space="preserve">любое применимое нарушение дает итог «нарушение»;</w:t>
      </w:r>
    </w:p>
    <w:p>
      <w:pPr>
        <w:pStyle w:val="Compact"/>
        <w:numPr>
          <w:ilvl w:val="0"/>
          <w:numId w:val="1001"/>
        </w:numPr>
      </w:pPr>
      <w:r>
        <w:t xml:space="preserve">если нарушений нет, но хотя бы один применимый подрезультат не проверен, итог «не проверено»;</w:t>
      </w:r>
    </w:p>
    <w:p>
      <w:pPr>
        <w:pStyle w:val="Compact"/>
        <w:numPr>
          <w:ilvl w:val="0"/>
          <w:numId w:val="1001"/>
        </w:numPr>
      </w:pPr>
      <w:r>
        <w:t xml:space="preserve">если хотя бы один применимый подрезультат пройден, остальные пройдены или имеют обоснованный NA, итог «прохождение»;</w:t>
      </w:r>
    </w:p>
    <w:p>
      <w:pPr>
        <w:pStyle w:val="Compact"/>
        <w:numPr>
          <w:ilvl w:val="0"/>
          <w:numId w:val="1001"/>
        </w:numPr>
      </w:pPr>
      <w:r>
        <w:t xml:space="preserve">итог NA допустим только тогда, когда все подрезультаты имеют подтвержденный NA.</w:t>
      </w:r>
    </w:p>
    <w:p>
      <w:pPr>
        <w:pStyle w:val="FirstParagraph"/>
      </w:pPr>
      <w:r>
        <w:t xml:space="preserve">Таким образом, сочетание</w:t>
      </w:r>
      <w:r>
        <w:t xml:space="preserve"> </w:t>
      </w:r>
      <w:r>
        <w:rPr>
          <w:rStyle w:val="VerbatimChar"/>
        </w:rPr>
        <w:t xml:space="preserve">NA + прохождение</w:t>
      </w:r>
      <w:r>
        <w:t xml:space="preserve"> </w:t>
      </w:r>
      <w:r>
        <w:t xml:space="preserve">дает одно итоговое прохождение, а</w:t>
      </w:r>
      <w:r>
        <w:t xml:space="preserve"> </w:t>
      </w:r>
      <w:r>
        <w:rPr>
          <w:rStyle w:val="VerbatimChar"/>
        </w:rPr>
        <w:t xml:space="preserve">NA + нарушение</w:t>
      </w:r>
      <w:r>
        <w:t xml:space="preserve"> </w:t>
      </w:r>
      <w:r>
        <w:t xml:space="preserve">дает одно итоговое нарушение. Прохождение означает выполнение всех применимых условий карточки на всей выбранной единице. Частичный NA не записывается как второй статус карточки. «Не проверено» применяется при недостатке доступа, состояния, конфигурации или доказательства и не считается прохождением.</w:t>
      </w:r>
    </w:p>
    <w:p>
      <w:pPr>
        <w:pStyle w:val="BodyText"/>
      </w:pPr>
      <w:r>
        <w:t xml:space="preserve">Минимальная запись содержит версию и сборку приложения и платформы, конфигурацию, единицу выборки, начальное состояние, шаги, ввод, ожидаемый и фактический результат, дату, оценщика и ссылку на доказательство. Инспекция дерева доступности не заменяет ручную проверку. Нормативная ссылка показывает основание, а поле «Граница проекта» отделяет операционализацию и предложение проекта от прямого требования источника.</w:t>
      </w:r>
    </w:p>
    <w:bookmarkEnd w:id="19"/>
    <w:bookmarkStart w:id="60" w:name="протоколы"/>
    <w:p>
      <w:pPr>
        <w:pStyle w:val="Heading2"/>
      </w:pPr>
      <w:bookmarkStart w:id="2016" w:name="_TocAnchor13_2015"/>
      <w:r>
        <w:t xml:space="preserve">Протоколы</w:t>
      </w:r>
      <w:bookmarkEnd w:id="2016"/>
    </w:p>
    <w:bookmarkStart w:id="22" w:name="Xd37d8437724038f8c4b782da210416b41440389"/>
    <w:p>
      <w:pPr>
        <w:pStyle w:val="Heading3"/>
      </w:pPr>
      <w:bookmarkStart w:id="2018" w:name="_TocAnchor14_2017"/>
      <w:r>
        <w:t xml:space="preserve">Г-01. Имя, роль, состояние, значение, связи и действия</w:t>
      </w:r>
      <w:bookmarkEnd w:id="2018"/>
    </w:p>
    <w:p>
      <w:pPr>
        <w:pStyle w:val="Compact"/>
        <w:numPr>
          <w:ilvl w:val="0"/>
          <w:numId w:val="1002"/>
        </w:numPr>
      </w:pPr>
      <w:r>
        <w:rPr>
          <w:b/>
          <w:bCs/>
        </w:rPr>
        <w:t xml:space="preserve">Применимость:</w:t>
      </w:r>
      <w:r>
        <w:t xml:space="preserve"> </w:t>
      </w:r>
      <w:r>
        <w:t xml:space="preserve">все интерактивные объекты и программно значимые части выбранных окон.</w:t>
      </w:r>
    </w:p>
    <w:p>
      <w:pPr>
        <w:pStyle w:val="Compact"/>
        <w:numPr>
          <w:ilvl w:val="0"/>
          <w:numId w:val="1002"/>
        </w:numPr>
      </w:pPr>
      <w:r>
        <w:rPr>
          <w:b/>
          <w:bCs/>
        </w:rPr>
        <w:t xml:space="preserve">Предусловия:</w:t>
      </w:r>
      <w:r>
        <w:t xml:space="preserve"> </w:t>
      </w:r>
      <w:r>
        <w:t xml:space="preserve">инспектор дерева доступности платформы, программа экранного доступа, состояния до и после изменения.</w:t>
      </w:r>
    </w:p>
    <w:p>
      <w:pPr>
        <w:pStyle w:val="Compact"/>
        <w:numPr>
          <w:ilvl w:val="0"/>
          <w:numId w:val="1002"/>
        </w:numPr>
      </w:pPr>
      <w:r>
        <w:rPr>
          <w:b/>
          <w:bCs/>
        </w:rPr>
        <w:t xml:space="preserve">Шаги и параметры:</w:t>
      </w:r>
      <w:r>
        <w:t xml:space="preserve"> </w:t>
      </w:r>
      <w:r>
        <w:t xml:space="preserve">последовательно получить роль, имя, описание, состояние, значение, связи, границы и список действий; изменить каждое доступное состояние и значение; выполнить действие через обычный ввод и программный интерфейс.</w:t>
      </w:r>
    </w:p>
    <w:p>
      <w:pPr>
        <w:pStyle w:val="Compact"/>
        <w:numPr>
          <w:ilvl w:val="0"/>
          <w:numId w:val="1002"/>
        </w:numPr>
      </w:pPr>
      <w:r>
        <w:rPr>
          <w:b/>
          <w:bCs/>
        </w:rPr>
        <w:t xml:space="preserve">Прохождение/нарушение:</w:t>
      </w:r>
      <w:r>
        <w:t xml:space="preserve"> </w:t>
      </w:r>
      <w:r>
        <w:t xml:space="preserve">проходит, если сведения точны, изменяются синхронно и доступные пользователю действия программно выполняемы; нарушение при отсутствующем, ложном или устаревшем свойстве либо недоступном действии.</w:t>
      </w:r>
    </w:p>
    <w:p>
      <w:pPr>
        <w:pStyle w:val="Compact"/>
        <w:numPr>
          <w:ilvl w:val="0"/>
          <w:numId w:val="1002"/>
        </w:numPr>
      </w:pPr>
      <w:r>
        <w:rPr>
          <w:b/>
          <w:bCs/>
        </w:rPr>
        <w:t xml:space="preserve">NA/не проверено:</w:t>
      </w:r>
      <w:r>
        <w:t xml:space="preserve"> </w:t>
      </w:r>
      <w:r>
        <w:t xml:space="preserve">NA только для объекта без интерактивного или семантического значения; не проверено без доступа к программному интерфейсу платформы.</w:t>
      </w:r>
    </w:p>
    <w:p>
      <w:pPr>
        <w:pStyle w:val="Compact"/>
        <w:numPr>
          <w:ilvl w:val="0"/>
          <w:numId w:val="1002"/>
        </w:numPr>
      </w:pPr>
      <w:r>
        <w:rPr>
          <w:b/>
          <w:bCs/>
        </w:rPr>
        <w:t xml:space="preserve">Минимальное доказательство:</w:t>
      </w:r>
      <w:r>
        <w:t xml:space="preserve"> </w:t>
      </w:r>
      <w:r>
        <w:t xml:space="preserve">фрагмент дерева до и после действия, снимок объекта, команда и результат.</w:t>
      </w:r>
    </w:p>
    <w:p>
      <w:pPr>
        <w:pStyle w:val="Compact"/>
        <w:numPr>
          <w:ilvl w:val="0"/>
          <w:numId w:val="1002"/>
        </w:numPr>
      </w:pPr>
      <w:r>
        <w:rPr>
          <w:b/>
          <w:bCs/>
        </w:rPr>
        <w:t xml:space="preserve">Нормативная ссылка:</w:t>
      </w:r>
      <w:r>
        <w:t xml:space="preserve"> </w:t>
      </w:r>
      <w:hyperlink r:id="rId20">
        <w:r>
          <w:rPr>
            <w:rStyle w:val="Hyperlink"/>
          </w:rPr>
          <w:t xml:space="preserve">EN 301 549 V4.1.1, 11.5.2.5-11.5.2.17</w:t>
        </w:r>
      </w:hyperlink>
      <w:r>
        <w:t xml:space="preserve">,</w:t>
      </w:r>
      <w:r>
        <w:t xml:space="preserve"> </w:t>
      </w:r>
      <w:hyperlink r:id="rId21">
        <w:r>
          <w:rPr>
            <w:rStyle w:val="Hyperlink"/>
          </w:rPr>
          <w:t xml:space="preserve">WCAG 2.2, 4.1.2</w:t>
        </w:r>
      </w:hyperlink>
      <w:r>
        <w:t xml:space="preserve">.</w:t>
      </w:r>
    </w:p>
    <w:p>
      <w:pPr>
        <w:pStyle w:val="Compact"/>
        <w:numPr>
          <w:ilvl w:val="0"/>
          <w:numId w:val="1002"/>
        </w:numPr>
      </w:pPr>
      <w:r>
        <w:rPr>
          <w:b/>
          <w:bCs/>
        </w:rPr>
        <w:t xml:space="preserve">Граница проекта:</w:t>
      </w:r>
      <w:r>
        <w:t xml:space="preserve"> </w:t>
      </w:r>
      <w:r>
        <w:t xml:space="preserve">произнесение программой экранного доступа без проверки программных свойств недостаточно.</w:t>
      </w:r>
    </w:p>
    <w:bookmarkEnd w:id="22"/>
    <w:bookmarkStart w:id="23" w:name="X730973d74560f7e88deb3df0ce8ff1bd64df45e"/>
    <w:p>
      <w:pPr>
        <w:pStyle w:val="Heading3"/>
      </w:pPr>
      <w:bookmarkStart w:id="2020" w:name="_TocAnchor23_2019"/>
      <w:r>
        <w:t xml:space="preserve">Г-02. Виртуализированное содержимое и невидимые объекты</w:t>
      </w:r>
      <w:bookmarkEnd w:id="2020"/>
    </w:p>
    <w:p>
      <w:pPr>
        <w:pStyle w:val="Compact"/>
        <w:numPr>
          <w:ilvl w:val="0"/>
          <w:numId w:val="1003"/>
        </w:numPr>
      </w:pPr>
      <w:r>
        <w:rPr>
          <w:b/>
          <w:bCs/>
        </w:rPr>
        <w:t xml:space="preserve">Применимость:</w:t>
      </w:r>
      <w:r>
        <w:t xml:space="preserve"> </w:t>
      </w:r>
      <w:r>
        <w:t xml:space="preserve">редакторы, сетки, деревья и списки, которые подгружают или повторно используют объекты при прокрутке.</w:t>
      </w:r>
    </w:p>
    <w:p>
      <w:pPr>
        <w:pStyle w:val="Compact"/>
        <w:numPr>
          <w:ilvl w:val="0"/>
          <w:numId w:val="1003"/>
        </w:numPr>
      </w:pPr>
      <w:r>
        <w:rPr>
          <w:b/>
          <w:bCs/>
        </w:rPr>
        <w:t xml:space="preserve">Предусловия:</w:t>
      </w:r>
      <w:r>
        <w:t xml:space="preserve"> </w:t>
      </w:r>
      <w:r>
        <w:t xml:space="preserve">набор больше видимой области, известное начало и конец, инспектор дерева и программа экранного доступа.</w:t>
      </w:r>
    </w:p>
    <w:p>
      <w:pPr>
        <w:pStyle w:val="Compact"/>
        <w:numPr>
          <w:ilvl w:val="0"/>
          <w:numId w:val="1003"/>
        </w:numPr>
      </w:pPr>
      <w:r>
        <w:rPr>
          <w:b/>
          <w:bCs/>
        </w:rPr>
        <w:t xml:space="preserve">Шаги и параметры:</w:t>
      </w:r>
      <w:r>
        <w:t xml:space="preserve"> </w:t>
      </w:r>
      <w:r>
        <w:t xml:space="preserve">пройти содержимое вперед и назад за пределы экрана; перейти к началу, середине и концу; вызвать подгрузку; проверить иерархию, текстовые диапазоны, позицию, счетчик и фокус.</w:t>
      </w:r>
    </w:p>
    <w:p>
      <w:pPr>
        <w:pStyle w:val="Compact"/>
        <w:numPr>
          <w:ilvl w:val="0"/>
          <w:numId w:val="1003"/>
        </w:numPr>
      </w:pPr>
      <w:r>
        <w:rPr>
          <w:b/>
          <w:bCs/>
        </w:rPr>
        <w:t xml:space="preserve">Прохождение/нарушение:</w:t>
      </w:r>
      <w:r>
        <w:t xml:space="preserve"> </w:t>
      </w:r>
      <w:r>
        <w:t xml:space="preserve">проходит, если все логические объекты достижимы, порядок устойчив, сведения не дублируются и фокус не теряется; нарушение при пропуске, ложном повторе или сбросе контекста.</w:t>
      </w:r>
    </w:p>
    <w:p>
      <w:pPr>
        <w:pStyle w:val="Compact"/>
        <w:numPr>
          <w:ilvl w:val="0"/>
          <w:numId w:val="1003"/>
        </w:numPr>
      </w:pPr>
      <w:r>
        <w:rPr>
          <w:b/>
          <w:bCs/>
        </w:rPr>
        <w:t xml:space="preserve">NA/не проверено:</w:t>
      </w:r>
      <w:r>
        <w:t xml:space="preserve"> </w:t>
      </w:r>
      <w:r>
        <w:t xml:space="preserve">NA для полностью статичного малого представления; не проверено без достаточно большого набора.</w:t>
      </w:r>
    </w:p>
    <w:p>
      <w:pPr>
        <w:pStyle w:val="Compact"/>
        <w:numPr>
          <w:ilvl w:val="0"/>
          <w:numId w:val="1003"/>
        </w:numPr>
      </w:pPr>
      <w:r>
        <w:rPr>
          <w:b/>
          <w:bCs/>
        </w:rPr>
        <w:t xml:space="preserve">Минимальное доказательство:</w:t>
      </w:r>
      <w:r>
        <w:t xml:space="preserve"> </w:t>
      </w:r>
      <w:r>
        <w:t xml:space="preserve">запись переходов с идентификаторами и позициями, фрагменты дерева до и после подгрузки.</w:t>
      </w:r>
    </w:p>
    <w:p>
      <w:pPr>
        <w:pStyle w:val="Compact"/>
        <w:numPr>
          <w:ilvl w:val="0"/>
          <w:numId w:val="1003"/>
        </w:numPr>
      </w:pPr>
      <w:r>
        <w:rPr>
          <w:b/>
          <w:bCs/>
        </w:rPr>
        <w:t xml:space="preserve">Нормативная ссылка:</w:t>
      </w:r>
      <w:r>
        <w:t xml:space="preserve"> </w:t>
      </w:r>
      <w:hyperlink r:id="rId20">
        <w:r>
          <w:rPr>
            <w:rStyle w:val="Hyperlink"/>
          </w:rPr>
          <w:t xml:space="preserve">EN 301 549 V4.1.1, 11.5.2.9-11.5.2.10, 11.5.2.13</w:t>
        </w:r>
      </w:hyperlink>
      <w:r>
        <w:t xml:space="preserve">.</w:t>
      </w:r>
    </w:p>
    <w:p>
      <w:pPr>
        <w:pStyle w:val="Compact"/>
        <w:numPr>
          <w:ilvl w:val="0"/>
          <w:numId w:val="1003"/>
        </w:numPr>
      </w:pPr>
      <w:r>
        <w:rPr>
          <w:b/>
          <w:bCs/>
        </w:rPr>
        <w:t xml:space="preserve">Граница проекта:</w:t>
      </w:r>
      <w:r>
        <w:t xml:space="preserve"> </w:t>
      </w:r>
      <w:r>
        <w:t xml:space="preserve">требование охватить объекты вне видимой области является сценарной операционализацией общих программных свойств.</w:t>
      </w:r>
    </w:p>
    <w:bookmarkEnd w:id="23"/>
    <w:bookmarkStart w:id="26" w:name="г-03.-клавиатура-и-отсутствие-ловушек"/>
    <w:p>
      <w:pPr>
        <w:pStyle w:val="Heading3"/>
      </w:pPr>
      <w:bookmarkStart w:id="2022" w:name="_TocAnchor32_2021"/>
      <w:r>
        <w:t xml:space="preserve">Г-03. Клавиатура и отсутствие ловушек</w:t>
      </w:r>
      <w:bookmarkEnd w:id="2022"/>
    </w:p>
    <w:p>
      <w:pPr>
        <w:pStyle w:val="Compact"/>
        <w:numPr>
          <w:ilvl w:val="0"/>
          <w:numId w:val="1004"/>
        </w:numPr>
      </w:pPr>
      <w:r>
        <w:rPr>
          <w:b/>
          <w:bCs/>
        </w:rPr>
        <w:t xml:space="preserve">Применимость:</w:t>
      </w:r>
      <w:r>
        <w:t xml:space="preserve"> </w:t>
      </w:r>
      <w:r>
        <w:t xml:space="preserve">все функции, окна, диалоги, меню и режимы.</w:t>
      </w:r>
    </w:p>
    <w:p>
      <w:pPr>
        <w:pStyle w:val="Compact"/>
        <w:numPr>
          <w:ilvl w:val="0"/>
          <w:numId w:val="1004"/>
        </w:numPr>
      </w:pPr>
      <w:r>
        <w:rPr>
          <w:b/>
          <w:bCs/>
        </w:rPr>
        <w:t xml:space="preserve">Предусловия:</w:t>
      </w:r>
      <w:r>
        <w:t xml:space="preserve"> </w:t>
      </w:r>
      <w:r>
        <w:t xml:space="preserve">мышь и сенсорный ввод не используются; известны документированные нестандартные клавиши.</w:t>
      </w:r>
    </w:p>
    <w:p>
      <w:pPr>
        <w:pStyle w:val="Compact"/>
        <w:numPr>
          <w:ilvl w:val="0"/>
          <w:numId w:val="1004"/>
        </w:numPr>
      </w:pPr>
      <w:r>
        <w:rPr>
          <w:b/>
          <w:bCs/>
        </w:rPr>
        <w:t xml:space="preserve">Шаги и параметры:</w:t>
      </w:r>
      <w:r>
        <w:t xml:space="preserve"> </w:t>
      </w:r>
      <w:r>
        <w:t xml:space="preserve">пройти каждую функцию последовательной и прямой навигацией; активировать, изменить и закрыть элементы; войти и выйти из каждого составного компонента; повторить в обратном направлении.</w:t>
      </w:r>
    </w:p>
    <w:p>
      <w:pPr>
        <w:pStyle w:val="Compact"/>
        <w:numPr>
          <w:ilvl w:val="0"/>
          <w:numId w:val="1004"/>
        </w:numPr>
      </w:pPr>
      <w:r>
        <w:rPr>
          <w:b/>
          <w:bCs/>
        </w:rPr>
        <w:t xml:space="preserve">Прохождение/нарушение:</w:t>
      </w:r>
      <w:r>
        <w:t xml:space="preserve"> </w:t>
      </w:r>
      <w:r>
        <w:t xml:space="preserve">проходит, если вся функциональность доступна с клавиатуры и из каждого компонента можно выйти обычным или заранее сообщенным способом; нарушение при недостижимом действии или ловушке.</w:t>
      </w:r>
    </w:p>
    <w:p>
      <w:pPr>
        <w:pStyle w:val="Compact"/>
        <w:numPr>
          <w:ilvl w:val="0"/>
          <w:numId w:val="1004"/>
        </w:numPr>
      </w:pPr>
      <w:r>
        <w:rPr>
          <w:b/>
          <w:bCs/>
        </w:rPr>
        <w:t xml:space="preserve">NA/не проверено:</w:t>
      </w:r>
      <w:r>
        <w:t xml:space="preserve"> </w:t>
      </w:r>
      <w:r>
        <w:t xml:space="preserve">NA только для действия, требующего непрерывного пути ввода по существу; не проверено при отсутствии нужного режима.</w:t>
      </w:r>
    </w:p>
    <w:p>
      <w:pPr>
        <w:pStyle w:val="Compact"/>
        <w:numPr>
          <w:ilvl w:val="0"/>
          <w:numId w:val="1004"/>
        </w:numPr>
      </w:pPr>
      <w:r>
        <w:rPr>
          <w:b/>
          <w:bCs/>
        </w:rPr>
        <w:t xml:space="preserve">Минимальное доказательство:</w:t>
      </w:r>
      <w:r>
        <w:t xml:space="preserve"> </w:t>
      </w:r>
      <w:r>
        <w:t xml:space="preserve">последовательность клавиш, фокуса и результата; запись ловушки или недостижимого действия.</w:t>
      </w:r>
    </w:p>
    <w:p>
      <w:pPr>
        <w:pStyle w:val="Compact"/>
        <w:numPr>
          <w:ilvl w:val="0"/>
          <w:numId w:val="1004"/>
        </w:numPr>
      </w:pPr>
      <w:r>
        <w:rPr>
          <w:b/>
          <w:bCs/>
        </w:rPr>
        <w:t xml:space="preserve">Нормативная ссылка:</w:t>
      </w:r>
      <w:r>
        <w:t xml:space="preserve"> </w:t>
      </w:r>
      <w:hyperlink r:id="rId20">
        <w:r>
          <w:rPr>
            <w:rStyle w:val="Hyperlink"/>
          </w:rPr>
          <w:t xml:space="preserve">EN 301 549 V4.1.1, 11.2.1.1-11.2.1.2</w:t>
        </w:r>
      </w:hyperlink>
      <w:r>
        <w:t xml:space="preserve">,</w:t>
      </w:r>
      <w:r>
        <w:t xml:space="preserve"> </w:t>
      </w:r>
      <w:hyperlink r:id="rId24">
        <w:r>
          <w:rPr>
            <w:rStyle w:val="Hyperlink"/>
          </w:rPr>
          <w:t xml:space="preserve">WCAG 2.2, 2.1.1</w:t>
        </w:r>
      </w:hyperlink>
      <w:r>
        <w:t xml:space="preserve">,</w:t>
      </w:r>
      <w:r>
        <w:t xml:space="preserve"> </w:t>
      </w:r>
      <w:hyperlink r:id="rId25">
        <w:r>
          <w:rPr>
            <w:rStyle w:val="Hyperlink"/>
          </w:rPr>
          <w:t xml:space="preserve">2.1.2</w:t>
        </w:r>
      </w:hyperlink>
      <w:r>
        <w:t xml:space="preserve">.</w:t>
      </w:r>
    </w:p>
    <w:p>
      <w:pPr>
        <w:pStyle w:val="Compact"/>
        <w:numPr>
          <w:ilvl w:val="0"/>
          <w:numId w:val="1004"/>
        </w:numPr>
      </w:pPr>
      <w:r>
        <w:rPr>
          <w:b/>
          <w:bCs/>
        </w:rPr>
        <w:t xml:space="preserve">Граница проекта:</w:t>
      </w:r>
      <w:r>
        <w:t xml:space="preserve"> </w:t>
      </w:r>
      <w:r>
        <w:t xml:space="preserve">перечень функций берется из инвентаризации Г.2, а не только из основного пути.</w:t>
      </w:r>
    </w:p>
    <w:bookmarkEnd w:id="26"/>
    <w:bookmarkStart w:id="27" w:name="X596d179056ed83edd1a88ef4c4266dc12b9d3af"/>
    <w:p>
      <w:pPr>
        <w:pStyle w:val="Heading3"/>
      </w:pPr>
      <w:bookmarkStart w:id="2024" w:name="_TocAnchor41_2023"/>
      <w:r>
        <w:t xml:space="preserve">Г-04. Видимость, порядок и устойчивость фокуса</w:t>
      </w:r>
      <w:bookmarkEnd w:id="2024"/>
    </w:p>
    <w:p>
      <w:pPr>
        <w:pStyle w:val="Compact"/>
        <w:numPr>
          <w:ilvl w:val="0"/>
          <w:numId w:val="1005"/>
        </w:numPr>
      </w:pPr>
      <w:r>
        <w:rPr>
          <w:b/>
          <w:bCs/>
        </w:rPr>
        <w:t xml:space="preserve">Применимость:</w:t>
      </w:r>
      <w:r>
        <w:t xml:space="preserve"> </w:t>
      </w:r>
      <w:r>
        <w:t xml:space="preserve">все окна с несколькими элементами, прокруткой, всплывающими областями или обновлением.</w:t>
      </w:r>
    </w:p>
    <w:p>
      <w:pPr>
        <w:pStyle w:val="Compact"/>
        <w:numPr>
          <w:ilvl w:val="0"/>
          <w:numId w:val="1005"/>
        </w:numPr>
      </w:pPr>
      <w:r>
        <w:rPr>
          <w:b/>
          <w:bCs/>
        </w:rPr>
        <w:t xml:space="preserve">Предусловия:</w:t>
      </w:r>
      <w:r>
        <w:t xml:space="preserve"> </w:t>
      </w:r>
      <w:r>
        <w:t xml:space="preserve">клавиатурная навигация, обычный и увеличенный масштаб, известный смысловой порядок.</w:t>
      </w:r>
    </w:p>
    <w:p>
      <w:pPr>
        <w:pStyle w:val="Compact"/>
        <w:numPr>
          <w:ilvl w:val="0"/>
          <w:numId w:val="1005"/>
        </w:numPr>
      </w:pPr>
      <w:r>
        <w:rPr>
          <w:b/>
          <w:bCs/>
        </w:rPr>
        <w:t xml:space="preserve">Шаги и параметры:</w:t>
      </w:r>
      <w:r>
        <w:t xml:space="preserve"> </w:t>
      </w:r>
      <w:r>
        <w:t xml:space="preserve">записать полный порядок вперед и назад; проверить видимость и перекрытие фокуса; вызвать обновление, подгрузку и изменение соавтором; продолжить с прежней позиции.</w:t>
      </w:r>
    </w:p>
    <w:p>
      <w:pPr>
        <w:pStyle w:val="Compact"/>
        <w:numPr>
          <w:ilvl w:val="0"/>
          <w:numId w:val="1005"/>
        </w:numPr>
      </w:pPr>
      <w:r>
        <w:rPr>
          <w:b/>
          <w:bCs/>
        </w:rPr>
        <w:t xml:space="preserve">Прохождение/нарушение:</w:t>
      </w:r>
      <w:r>
        <w:t xml:space="preserve"> </w:t>
      </w:r>
      <w:r>
        <w:t xml:space="preserve">проходит, если порядок сохраняет смысл, фокус видим и не полностью скрыт, а обновление не переносит его без причины; нарушение при скачке, пропуске, перекрытии или сбросе.</w:t>
      </w:r>
    </w:p>
    <w:p>
      <w:pPr>
        <w:pStyle w:val="Compact"/>
        <w:numPr>
          <w:ilvl w:val="0"/>
          <w:numId w:val="1005"/>
        </w:numPr>
      </w:pPr>
      <w:r>
        <w:rPr>
          <w:b/>
          <w:bCs/>
        </w:rPr>
        <w:t xml:space="preserve">NA/не проверено:</w:t>
      </w:r>
      <w:r>
        <w:t xml:space="preserve"> </w:t>
      </w:r>
      <w:r>
        <w:t xml:space="preserve">NA для окна без фокусируемых объектов; не проверено без требуемого динамического состояния.</w:t>
      </w:r>
    </w:p>
    <w:p>
      <w:pPr>
        <w:pStyle w:val="Compact"/>
        <w:numPr>
          <w:ilvl w:val="0"/>
          <w:numId w:val="1005"/>
        </w:numPr>
      </w:pPr>
      <w:r>
        <w:rPr>
          <w:b/>
          <w:bCs/>
        </w:rPr>
        <w:t xml:space="preserve">Минимальное доказательство:</w:t>
      </w:r>
      <w:r>
        <w:t xml:space="preserve"> </w:t>
      </w:r>
      <w:r>
        <w:t xml:space="preserve">таблица порядка, снимок фокуса, запись позиции до и после обновления.</w:t>
      </w:r>
    </w:p>
    <w:p>
      <w:pPr>
        <w:pStyle w:val="Compact"/>
        <w:numPr>
          <w:ilvl w:val="0"/>
          <w:numId w:val="1005"/>
        </w:numPr>
      </w:pPr>
      <w:r>
        <w:rPr>
          <w:b/>
          <w:bCs/>
        </w:rPr>
        <w:t xml:space="preserve">Нормативная ссылка:</w:t>
      </w:r>
      <w:r>
        <w:t xml:space="preserve"> </w:t>
      </w:r>
      <w:hyperlink r:id="rId20">
        <w:r>
          <w:rPr>
            <w:rStyle w:val="Hyperlink"/>
          </w:rPr>
          <w:t xml:space="preserve">EN 301 549 V4.1.1, 11.2.4.3, 11.2.4.7, 11.2.4.11, 11.5.2.13</w:t>
        </w:r>
      </w:hyperlink>
      <w:r>
        <w:t xml:space="preserve">.</w:t>
      </w:r>
    </w:p>
    <w:p>
      <w:pPr>
        <w:pStyle w:val="Compact"/>
        <w:numPr>
          <w:ilvl w:val="0"/>
          <w:numId w:val="1005"/>
        </w:numPr>
      </w:pPr>
      <w:r>
        <w:rPr>
          <w:b/>
          <w:bCs/>
        </w:rPr>
        <w:t xml:space="preserve">Граница проекта:</w:t>
      </w:r>
      <w:r>
        <w:t xml:space="preserve"> </w:t>
      </w:r>
      <w:r>
        <w:t xml:space="preserve">отсутствие сброса рабочего контекста при обновлении или совместном изменении является</w:t>
      </w:r>
      <w:r>
        <w:t xml:space="preserve"> </w:t>
      </w:r>
      <w:r>
        <w:rPr>
          <w:b/>
          <w:bCs/>
        </w:rPr>
        <w:t xml:space="preserve">Предложением проекта</w:t>
      </w:r>
      <w:r>
        <w:t xml:space="preserve"> </w:t>
      </w:r>
      <w:r>
        <w:t xml:space="preserve">и проверяется, только если соответствующая функция входит в область.</w:t>
      </w:r>
    </w:p>
    <w:bookmarkEnd w:id="27"/>
    <w:bookmarkStart w:id="28" w:name="Xb35a633b96b72f8b2b910f565fff58fa23f6a07"/>
    <w:p>
      <w:pPr>
        <w:pStyle w:val="Heading3"/>
      </w:pPr>
      <w:bookmarkStart w:id="2026" w:name="_TocAnchor50_2025"/>
      <w:r>
        <w:t xml:space="preserve">Г-05. Меню, панели, ленты и сложные элементы</w:t>
      </w:r>
      <w:bookmarkEnd w:id="2026"/>
    </w:p>
    <w:p>
      <w:pPr>
        <w:pStyle w:val="Compact"/>
        <w:numPr>
          <w:ilvl w:val="0"/>
          <w:numId w:val="1006"/>
        </w:numPr>
      </w:pPr>
      <w:r>
        <w:rPr>
          <w:b/>
          <w:bCs/>
        </w:rPr>
        <w:t xml:space="preserve">Применимость:</w:t>
      </w:r>
      <w:r>
        <w:t xml:space="preserve"> </w:t>
      </w:r>
      <w:r>
        <w:t xml:space="preserve">меню, ленты, вкладки, панели, деревья, списки, раскрывающиеся элементы и подобные составные компоненты.</w:t>
      </w:r>
    </w:p>
    <w:p>
      <w:pPr>
        <w:pStyle w:val="Compact"/>
        <w:numPr>
          <w:ilvl w:val="0"/>
          <w:numId w:val="1006"/>
        </w:numPr>
      </w:pPr>
      <w:r>
        <w:rPr>
          <w:b/>
          <w:bCs/>
        </w:rPr>
        <w:t xml:space="preserve">Предусловия:</w:t>
      </w:r>
      <w:r>
        <w:t xml:space="preserve"> </w:t>
      </w:r>
      <w:r>
        <w:t xml:space="preserve">перечень компонентов, клавиатура, программа экранного доступа и инспектор дерева.</w:t>
      </w:r>
    </w:p>
    <w:p>
      <w:pPr>
        <w:pStyle w:val="Compact"/>
        <w:numPr>
          <w:ilvl w:val="0"/>
          <w:numId w:val="1006"/>
        </w:numPr>
      </w:pPr>
      <w:r>
        <w:rPr>
          <w:b/>
          <w:bCs/>
        </w:rPr>
        <w:t xml:space="preserve">Шаги и параметры:</w:t>
      </w:r>
      <w:r>
        <w:t xml:space="preserve"> </w:t>
      </w:r>
      <w:r>
        <w:t xml:space="preserve">войти в компонент, определить его имя и роль; перемещаться по дочерним объектам; раскрыть и свернуть; изменить выбор; вызвать команду; выйти и вернуться.</w:t>
      </w:r>
    </w:p>
    <w:p>
      <w:pPr>
        <w:pStyle w:val="Compact"/>
        <w:numPr>
          <w:ilvl w:val="0"/>
          <w:numId w:val="1006"/>
        </w:numPr>
      </w:pPr>
      <w:r>
        <w:rPr>
          <w:b/>
          <w:bCs/>
        </w:rPr>
        <w:t xml:space="preserve">Прохождение/нарушение:</w:t>
      </w:r>
      <w:r>
        <w:t xml:space="preserve"> </w:t>
      </w:r>
      <w:r>
        <w:t xml:space="preserve">проходит, если структура, текущая позиция, выбор, раскрытие и доступные команды определимы и управляемы; нарушение при визуально доступной, но программно скрытой функции.</w:t>
      </w:r>
    </w:p>
    <w:p>
      <w:pPr>
        <w:pStyle w:val="Compact"/>
        <w:numPr>
          <w:ilvl w:val="0"/>
          <w:numId w:val="1006"/>
        </w:numPr>
      </w:pPr>
      <w:r>
        <w:rPr>
          <w:b/>
          <w:bCs/>
        </w:rPr>
        <w:t xml:space="preserve">NA/не проверено:</w:t>
      </w:r>
      <w:r>
        <w:t xml:space="preserve"> </w:t>
      </w:r>
      <w:r>
        <w:t xml:space="preserve">NA для отсутствующего типа компонента; не проверено без состояния, в котором он доступен.</w:t>
      </w:r>
    </w:p>
    <w:p>
      <w:pPr>
        <w:pStyle w:val="Compact"/>
        <w:numPr>
          <w:ilvl w:val="0"/>
          <w:numId w:val="1006"/>
        </w:numPr>
      </w:pPr>
      <w:r>
        <w:rPr>
          <w:b/>
          <w:bCs/>
        </w:rPr>
        <w:t xml:space="preserve">Минимальное доказательство:</w:t>
      </w:r>
      <w:r>
        <w:t xml:space="preserve"> </w:t>
      </w:r>
      <w:r>
        <w:t xml:space="preserve">запись клавиш и сообщений, фрагмент дерева со структурой и состояниями.</w:t>
      </w:r>
    </w:p>
    <w:p>
      <w:pPr>
        <w:pStyle w:val="Compact"/>
        <w:numPr>
          <w:ilvl w:val="0"/>
          <w:numId w:val="1006"/>
        </w:numPr>
      </w:pPr>
      <w:r>
        <w:rPr>
          <w:b/>
          <w:bCs/>
        </w:rPr>
        <w:t xml:space="preserve">Нормативная ссылка:</w:t>
      </w:r>
      <w:r>
        <w:t xml:space="preserve"> </w:t>
      </w:r>
      <w:hyperlink r:id="rId20">
        <w:r>
          <w:rPr>
            <w:rStyle w:val="Hyperlink"/>
          </w:rPr>
          <w:t xml:space="preserve">EN 301 549 V4.1.1, 11.2.1, 11.4.1.2, 11.5.2.5-11.5.2.17</w:t>
        </w:r>
      </w:hyperlink>
      <w:r>
        <w:t xml:space="preserve">.</w:t>
      </w:r>
    </w:p>
    <w:p>
      <w:pPr>
        <w:pStyle w:val="Compact"/>
        <w:numPr>
          <w:ilvl w:val="0"/>
          <w:numId w:val="1006"/>
        </w:numPr>
      </w:pPr>
      <w:r>
        <w:rPr>
          <w:b/>
          <w:bCs/>
        </w:rPr>
        <w:t xml:space="preserve">Граница проекта:</w:t>
      </w:r>
      <w:r>
        <w:t xml:space="preserve"> </w:t>
      </w:r>
      <w:r>
        <w:t xml:space="preserve">названия конкретных видов компонентов являются сценарным применением общих требований, а не отдельными пунктами стандарта.</w:t>
      </w:r>
    </w:p>
    <w:bookmarkEnd w:id="28"/>
    <w:bookmarkStart w:id="29" w:name="г-06.-диалоги-и-перенос-фокуса"/>
    <w:p>
      <w:pPr>
        <w:pStyle w:val="Heading3"/>
      </w:pPr>
      <w:bookmarkStart w:id="2028" w:name="_TocAnchor59_2027"/>
      <w:r>
        <w:t xml:space="preserve">Г-06. Диалоги и перенос фокуса</w:t>
      </w:r>
      <w:bookmarkEnd w:id="2028"/>
    </w:p>
    <w:p>
      <w:pPr>
        <w:pStyle w:val="Compact"/>
        <w:numPr>
          <w:ilvl w:val="0"/>
          <w:numId w:val="1007"/>
        </w:numPr>
      </w:pPr>
      <w:r>
        <w:rPr>
          <w:b/>
          <w:bCs/>
        </w:rPr>
        <w:t xml:space="preserve">Применимость:</w:t>
      </w:r>
      <w:r>
        <w:t xml:space="preserve"> </w:t>
      </w:r>
      <w:r>
        <w:t xml:space="preserve">модальные и немодальные диалоги, панели подтверждения и системные средства выбора.</w:t>
      </w:r>
    </w:p>
    <w:p>
      <w:pPr>
        <w:pStyle w:val="Compact"/>
        <w:numPr>
          <w:ilvl w:val="0"/>
          <w:numId w:val="1007"/>
        </w:numPr>
      </w:pPr>
      <w:r>
        <w:rPr>
          <w:b/>
          <w:bCs/>
        </w:rPr>
        <w:t xml:space="preserve">Предусловия:</w:t>
      </w:r>
      <w:r>
        <w:t xml:space="preserve"> </w:t>
      </w:r>
      <w:r>
        <w:t xml:space="preserve">известный инициатор, начальный фокус и ожидаемое продолжение после закрытия.</w:t>
      </w:r>
    </w:p>
    <w:p>
      <w:pPr>
        <w:pStyle w:val="Compact"/>
        <w:numPr>
          <w:ilvl w:val="0"/>
          <w:numId w:val="1007"/>
        </w:numPr>
      </w:pPr>
      <w:r>
        <w:rPr>
          <w:b/>
          <w:bCs/>
        </w:rPr>
        <w:t xml:space="preserve">Шаги и параметры:</w:t>
      </w:r>
      <w:r>
        <w:t xml:space="preserve"> </w:t>
      </w:r>
      <w:r>
        <w:t xml:space="preserve">открыть диалог клавиатурой; установить первый и активный элементы; обойти содержимое; проверить границы модального фокуса; закрыть подтверждением, отменой и системной командой.</w:t>
      </w:r>
    </w:p>
    <w:p>
      <w:pPr>
        <w:pStyle w:val="Compact"/>
        <w:numPr>
          <w:ilvl w:val="0"/>
          <w:numId w:val="1007"/>
        </w:numPr>
      </w:pPr>
      <w:r>
        <w:rPr>
          <w:b/>
          <w:bCs/>
        </w:rPr>
        <w:t xml:space="preserve">Прохождение/нарушение:</w:t>
      </w:r>
      <w:r>
        <w:t xml:space="preserve"> </w:t>
      </w:r>
      <w:r>
        <w:t xml:space="preserve">проходит, если открытие объявлено, фокус попадает в логичное место, не уходит за модальную область и после закрытия возвращается в понятный контекст; нарушение при потере управления или контекста.</w:t>
      </w:r>
    </w:p>
    <w:p>
      <w:pPr>
        <w:pStyle w:val="Compact"/>
        <w:numPr>
          <w:ilvl w:val="0"/>
          <w:numId w:val="1007"/>
        </w:numPr>
      </w:pPr>
      <w:r>
        <w:rPr>
          <w:b/>
          <w:bCs/>
        </w:rPr>
        <w:t xml:space="preserve">NA/не проверено:</w:t>
      </w:r>
      <w:r>
        <w:t xml:space="preserve"> </w:t>
      </w:r>
      <w:r>
        <w:t xml:space="preserve">NA для единицы без диалога; не проверено, если безопасное открытие недоступно.</w:t>
      </w:r>
    </w:p>
    <w:p>
      <w:pPr>
        <w:pStyle w:val="Compact"/>
        <w:numPr>
          <w:ilvl w:val="0"/>
          <w:numId w:val="1007"/>
        </w:numPr>
      </w:pPr>
      <w:r>
        <w:rPr>
          <w:b/>
          <w:bCs/>
        </w:rPr>
        <w:t xml:space="preserve">Минимальное доказательство:</w:t>
      </w:r>
      <w:r>
        <w:t xml:space="preserve"> </w:t>
      </w:r>
      <w:r>
        <w:t xml:space="preserve">фокус до, после открытия и после закрытия, запись обхода, фрагмент дерева.</w:t>
      </w:r>
    </w:p>
    <w:p>
      <w:pPr>
        <w:pStyle w:val="Compact"/>
        <w:numPr>
          <w:ilvl w:val="0"/>
          <w:numId w:val="1007"/>
        </w:numPr>
      </w:pPr>
      <w:r>
        <w:rPr>
          <w:b/>
          <w:bCs/>
        </w:rPr>
        <w:t xml:space="preserve">Нормативная ссылка:</w:t>
      </w:r>
      <w:r>
        <w:t xml:space="preserve"> </w:t>
      </w:r>
      <w:hyperlink r:id="rId20">
        <w:r>
          <w:rPr>
            <w:rStyle w:val="Hyperlink"/>
          </w:rPr>
          <w:t xml:space="preserve">EN 301 549 V4.1.1, 11.2.4.3, 11.5.2.13-11.5.2.15</w:t>
        </w:r>
      </w:hyperlink>
      <w:r>
        <w:t xml:space="preserve">.</w:t>
      </w:r>
    </w:p>
    <w:p>
      <w:pPr>
        <w:pStyle w:val="Compact"/>
        <w:numPr>
          <w:ilvl w:val="0"/>
          <w:numId w:val="1007"/>
        </w:numPr>
      </w:pPr>
      <w:r>
        <w:rPr>
          <w:b/>
          <w:bCs/>
        </w:rPr>
        <w:t xml:space="preserve">Граница проекта:</w:t>
      </w:r>
      <w:r>
        <w:t xml:space="preserve"> </w:t>
      </w:r>
      <w:r>
        <w:t xml:space="preserve">выбор первого элемента, удержание фокуса в модальной области и возврат к инициатору или логическому продолжению являются сценарной операционализацией проекта.</w:t>
      </w:r>
    </w:p>
    <w:bookmarkEnd w:id="29"/>
    <w:bookmarkStart w:id="31" w:name="Xdffa53dc526377a8dd3eec9f124ac9a03ff4c9b"/>
    <w:p>
      <w:pPr>
        <w:pStyle w:val="Heading3"/>
      </w:pPr>
      <w:bookmarkStart w:id="2030" w:name="_TocAnchor68_2029"/>
      <w:r>
        <w:t xml:space="preserve">Г-07. Уведомления, состояния, ошибки и прогресс</w:t>
      </w:r>
      <w:bookmarkEnd w:id="2030"/>
    </w:p>
    <w:p>
      <w:pPr>
        <w:pStyle w:val="Compact"/>
        <w:numPr>
          <w:ilvl w:val="0"/>
          <w:numId w:val="1008"/>
        </w:numPr>
      </w:pPr>
      <w:r>
        <w:rPr>
          <w:b/>
          <w:bCs/>
        </w:rPr>
        <w:t xml:space="preserve">Применимость:</w:t>
      </w:r>
      <w:r>
        <w:t xml:space="preserve"> </w:t>
      </w:r>
      <w:r>
        <w:t xml:space="preserve">сохранение, поиск, импорт, экспорт, совместная работа, ошибки и длительные операции.</w:t>
      </w:r>
    </w:p>
    <w:p>
      <w:pPr>
        <w:pStyle w:val="Compact"/>
        <w:numPr>
          <w:ilvl w:val="0"/>
          <w:numId w:val="1008"/>
        </w:numPr>
      </w:pPr>
      <w:r>
        <w:rPr>
          <w:b/>
          <w:bCs/>
        </w:rPr>
        <w:t xml:space="preserve">Предусловия:</w:t>
      </w:r>
      <w:r>
        <w:t xml:space="preserve"> </w:t>
      </w:r>
      <w:r>
        <w:t xml:space="preserve">безопасные данные для успеха и ошибки, программа экранного доступа, журнал событий доступности.</w:t>
      </w:r>
    </w:p>
    <w:p>
      <w:pPr>
        <w:pStyle w:val="Compact"/>
        <w:numPr>
          <w:ilvl w:val="0"/>
          <w:numId w:val="1008"/>
        </w:numPr>
      </w:pPr>
      <w:r>
        <w:rPr>
          <w:b/>
          <w:bCs/>
        </w:rPr>
        <w:t xml:space="preserve">Шаги и параметры:</w:t>
      </w:r>
      <w:r>
        <w:t xml:space="preserve"> </w:t>
      </w:r>
      <w:r>
        <w:t xml:space="preserve">вызвать начало, прогресс, завершение и ошибку; не перемещать фокус вручную; проверить программное сообщение, связь ошибки с объектом, причину и способ исправления.</w:t>
      </w:r>
    </w:p>
    <w:p>
      <w:pPr>
        <w:pStyle w:val="Compact"/>
        <w:numPr>
          <w:ilvl w:val="0"/>
          <w:numId w:val="1008"/>
        </w:numPr>
      </w:pPr>
      <w:r>
        <w:rPr>
          <w:b/>
          <w:bCs/>
        </w:rPr>
        <w:t xml:space="preserve">Прохождение/нарушение:</w:t>
      </w:r>
      <w:r>
        <w:t xml:space="preserve"> </w:t>
      </w:r>
      <w:r>
        <w:t xml:space="preserve">проходит, если существенное изменение своевременно доступно без ненужного фокуса, а ошибка понятна и связана с местом исправления; нарушение при только визуальном сигнале или неясной ошибке.</w:t>
      </w:r>
    </w:p>
    <w:p>
      <w:pPr>
        <w:pStyle w:val="Compact"/>
        <w:numPr>
          <w:ilvl w:val="0"/>
          <w:numId w:val="1008"/>
        </w:numPr>
      </w:pPr>
      <w:r>
        <w:rPr>
          <w:b/>
          <w:bCs/>
        </w:rPr>
        <w:t xml:space="preserve">NA/не проверено:</w:t>
      </w:r>
      <w:r>
        <w:t xml:space="preserve"> </w:t>
      </w:r>
      <w:r>
        <w:t xml:space="preserve">NA для единицы без изменений состояния; не проверено, если состояние нельзя безопасно вызвать.</w:t>
      </w:r>
    </w:p>
    <w:p>
      <w:pPr>
        <w:pStyle w:val="Compact"/>
        <w:numPr>
          <w:ilvl w:val="0"/>
          <w:numId w:val="1008"/>
        </w:numPr>
      </w:pPr>
      <w:r>
        <w:rPr>
          <w:b/>
          <w:bCs/>
        </w:rPr>
        <w:t xml:space="preserve">Минимальное доказательство:</w:t>
      </w:r>
      <w:r>
        <w:t xml:space="preserve"> </w:t>
      </w:r>
      <w:r>
        <w:t xml:space="preserve">запись события, времени, сообщения, фокуса и связанного объекта.</w:t>
      </w:r>
    </w:p>
    <w:p>
      <w:pPr>
        <w:pStyle w:val="Compact"/>
        <w:numPr>
          <w:ilvl w:val="0"/>
          <w:numId w:val="1008"/>
        </w:numPr>
      </w:pPr>
      <w:r>
        <w:rPr>
          <w:b/>
          <w:bCs/>
        </w:rPr>
        <w:t xml:space="preserve">Нормативная ссылка:</w:t>
      </w:r>
      <w:r>
        <w:t xml:space="preserve"> </w:t>
      </w:r>
      <w:hyperlink r:id="rId20">
        <w:r>
          <w:rPr>
            <w:rStyle w:val="Hyperlink"/>
          </w:rPr>
          <w:t xml:space="preserve">EN 301 549 V4.1.1, 11.3.3.1-11.3.3.3, 11.4.1.3, 11.5.2.15</w:t>
        </w:r>
      </w:hyperlink>
      <w:r>
        <w:t xml:space="preserve">,</w:t>
      </w:r>
      <w:r>
        <w:t xml:space="preserve"> </w:t>
      </w:r>
      <w:hyperlink r:id="rId30">
        <w:r>
          <w:rPr>
            <w:rStyle w:val="Hyperlink"/>
          </w:rPr>
          <w:t xml:space="preserve">WCAG 2.2, 4.1.3</w:t>
        </w:r>
      </w:hyperlink>
      <w:r>
        <w:t xml:space="preserve">.</w:t>
      </w:r>
    </w:p>
    <w:p>
      <w:pPr>
        <w:pStyle w:val="Compact"/>
        <w:numPr>
          <w:ilvl w:val="0"/>
          <w:numId w:val="1008"/>
        </w:numPr>
      </w:pPr>
      <w:r>
        <w:rPr>
          <w:b/>
          <w:bCs/>
        </w:rPr>
        <w:t xml:space="preserve">Граница проекта:</w:t>
      </w:r>
      <w:r>
        <w:t xml:space="preserve"> </w:t>
      </w:r>
      <w:r>
        <w:t xml:space="preserve">состав событий берется из инвентаризации и включает применимые совместные изменения.</w:t>
      </w:r>
    </w:p>
    <w:bookmarkEnd w:id="31"/>
    <w:bookmarkStart w:id="32" w:name="г-08.-системные-настройки-доступности"/>
    <w:p>
      <w:pPr>
        <w:pStyle w:val="Heading3"/>
      </w:pPr>
      <w:bookmarkStart w:id="2032" w:name="_TocAnchor77_2031"/>
      <w:r>
        <w:t xml:space="preserve">Г-08. Системные настройки доступности</w:t>
      </w:r>
      <w:bookmarkEnd w:id="2032"/>
    </w:p>
    <w:p>
      <w:pPr>
        <w:pStyle w:val="Compact"/>
        <w:numPr>
          <w:ilvl w:val="0"/>
          <w:numId w:val="1009"/>
        </w:numPr>
      </w:pPr>
      <w:r>
        <w:rPr>
          <w:b/>
          <w:bCs/>
        </w:rPr>
        <w:t xml:space="preserve">Применимость:</w:t>
      </w:r>
      <w:r>
        <w:t xml:space="preserve"> </w:t>
      </w:r>
      <w:r>
        <w:t xml:space="preserve">все окна и режимы приложения, кроме документированного изолированного интерфейса с обоснованным исключением.</w:t>
      </w:r>
    </w:p>
    <w:p>
      <w:pPr>
        <w:pStyle w:val="Compact"/>
        <w:numPr>
          <w:ilvl w:val="0"/>
          <w:numId w:val="1009"/>
        </w:numPr>
      </w:pPr>
      <w:r>
        <w:rPr>
          <w:b/>
          <w:bCs/>
        </w:rPr>
        <w:t xml:space="preserve">Предусловия:</w:t>
      </w:r>
      <w:r>
        <w:t xml:space="preserve"> </w:t>
      </w:r>
      <w:r>
        <w:t xml:space="preserve">исходная конфигурация и отдельные конфигурации высокой контрастности, системных цветов, увеличенного текста, курсора, указателя и уменьшения движения.</w:t>
      </w:r>
    </w:p>
    <w:p>
      <w:pPr>
        <w:pStyle w:val="Compact"/>
        <w:numPr>
          <w:ilvl w:val="0"/>
          <w:numId w:val="1009"/>
        </w:numPr>
      </w:pPr>
      <w:r>
        <w:rPr>
          <w:b/>
          <w:bCs/>
        </w:rPr>
        <w:t xml:space="preserve">Шаги и параметры:</w:t>
      </w:r>
      <w:r>
        <w:t xml:space="preserve"> </w:t>
      </w:r>
      <w:r>
        <w:t xml:space="preserve">изменить по одной системной настройке, перезапустить приложение только если это документировано; пройти обязательные окна; сравнить текст, управление, движение и функции.</w:t>
      </w:r>
    </w:p>
    <w:p>
      <w:pPr>
        <w:pStyle w:val="Compact"/>
        <w:numPr>
          <w:ilvl w:val="0"/>
          <w:numId w:val="1009"/>
        </w:numPr>
      </w:pPr>
      <w:r>
        <w:rPr>
          <w:b/>
          <w:bCs/>
        </w:rPr>
        <w:t xml:space="preserve">Прохождение/нарушение:</w:t>
      </w:r>
      <w:r>
        <w:t xml:space="preserve"> </w:t>
      </w:r>
      <w:r>
        <w:t xml:space="preserve">проходит, если приложение не нарушает функции платформы и следует документированным настройкам в применимых условиях; нарушение при игнорировании без обоснования или потере функции.</w:t>
      </w:r>
    </w:p>
    <w:p>
      <w:pPr>
        <w:pStyle w:val="Compact"/>
        <w:numPr>
          <w:ilvl w:val="0"/>
          <w:numId w:val="1009"/>
        </w:numPr>
      </w:pPr>
      <w:r>
        <w:rPr>
          <w:b/>
          <w:bCs/>
        </w:rPr>
        <w:t xml:space="preserve">NA/не проверено:</w:t>
      </w:r>
      <w:r>
        <w:t xml:space="preserve"> </w:t>
      </w:r>
      <w:r>
        <w:t xml:space="preserve">NA для настройки, которой нет на выбранной платформе; не проверено без разрешения менять систему.</w:t>
      </w:r>
    </w:p>
    <w:p>
      <w:pPr>
        <w:pStyle w:val="Compact"/>
        <w:numPr>
          <w:ilvl w:val="0"/>
          <w:numId w:val="1009"/>
        </w:numPr>
      </w:pPr>
      <w:r>
        <w:rPr>
          <w:b/>
          <w:bCs/>
        </w:rPr>
        <w:t xml:space="preserve">Минимальное доказательство:</w:t>
      </w:r>
      <w:r>
        <w:t xml:space="preserve"> </w:t>
      </w:r>
      <w:r>
        <w:t xml:space="preserve">значение настройки, снимки до и после, версия платформы и перечень проверенных окон.</w:t>
      </w:r>
    </w:p>
    <w:p>
      <w:pPr>
        <w:pStyle w:val="Compact"/>
        <w:numPr>
          <w:ilvl w:val="0"/>
          <w:numId w:val="1009"/>
        </w:numPr>
      </w:pPr>
      <w:r>
        <w:rPr>
          <w:b/>
          <w:bCs/>
        </w:rPr>
        <w:t xml:space="preserve">Нормативная ссылка:</w:t>
      </w:r>
      <w:r>
        <w:t xml:space="preserve"> </w:t>
      </w:r>
      <w:hyperlink r:id="rId20">
        <w:r>
          <w:rPr>
            <w:rStyle w:val="Hyperlink"/>
          </w:rPr>
          <w:t xml:space="preserve">EN 301 549 V4.1.1, 11.6.2, 11.7</w:t>
        </w:r>
      </w:hyperlink>
      <w:r>
        <w:t xml:space="preserve">.</w:t>
      </w:r>
    </w:p>
    <w:p>
      <w:pPr>
        <w:pStyle w:val="Compact"/>
        <w:numPr>
          <w:ilvl w:val="0"/>
          <w:numId w:val="1009"/>
        </w:numPr>
      </w:pPr>
      <w:r>
        <w:rPr>
          <w:b/>
          <w:bCs/>
        </w:rPr>
        <w:t xml:space="preserve">Граница проекта:</w:t>
      </w:r>
      <w:r>
        <w:t xml:space="preserve"> </w:t>
      </w:r>
      <w:r>
        <w:t xml:space="preserve">уменьшение движения обязательно здесь только как документированная функция доступности платформы; иначе оно проверяется как предложение проекта.</w:t>
      </w:r>
    </w:p>
    <w:bookmarkEnd w:id="32"/>
    <w:bookmarkStart w:id="34" w:name="X12764278e7272366aaa1b4e407578e30d8a223c"/>
    <w:p>
      <w:pPr>
        <w:pStyle w:val="Heading3"/>
      </w:pPr>
      <w:bookmarkStart w:id="2034" w:name="_TocAnchor86_2033"/>
      <w:r>
        <w:t xml:space="preserve">Г-09. Масштабирование и перекомпоновка без потери функций</w:t>
      </w:r>
      <w:bookmarkEnd w:id="2034"/>
    </w:p>
    <w:p>
      <w:pPr>
        <w:pStyle w:val="Compact"/>
        <w:numPr>
          <w:ilvl w:val="0"/>
          <w:numId w:val="1010"/>
        </w:numPr>
      </w:pPr>
      <w:r>
        <w:rPr>
          <w:b/>
          <w:bCs/>
        </w:rPr>
        <w:t xml:space="preserve">Применимость:</w:t>
      </w:r>
      <w:r>
        <w:t xml:space="preserve"> </w:t>
      </w:r>
      <w:r>
        <w:t xml:space="preserve">все визуальные окна, диалоги и редакторы.</w:t>
      </w:r>
    </w:p>
    <w:p>
      <w:pPr>
        <w:pStyle w:val="Compact"/>
        <w:numPr>
          <w:ilvl w:val="0"/>
          <w:numId w:val="1010"/>
        </w:numPr>
      </w:pPr>
      <w:r>
        <w:rPr>
          <w:b/>
          <w:bCs/>
        </w:rPr>
        <w:t xml:space="preserve">Предусловия:</w:t>
      </w:r>
      <w:r>
        <w:t xml:space="preserve"> </w:t>
      </w:r>
      <w:r>
        <w:t xml:space="preserve">обычный масштаб; увеличение текста до 200 процентов либо до предела платформы, если он ниже; измеримая область содержимого для перекомпоновки. Для вертикально прокручиваемого содержимого задается ширина, эквивалентная 320 CSS px; для горизонтально прокручиваемого содержимого задается высота, эквивалентная 256 CSS px. В среде без CSS используется определение CSS-пикселя через визуальный угол 0,0213 градуса, а способ пересчета фиксируется.</w:t>
      </w:r>
    </w:p>
    <w:p>
      <w:pPr>
        <w:pStyle w:val="Compact"/>
        <w:numPr>
          <w:ilvl w:val="0"/>
          <w:numId w:val="1010"/>
        </w:numPr>
      </w:pPr>
      <w:r>
        <w:rPr>
          <w:b/>
          <w:bCs/>
        </w:rPr>
        <w:t xml:space="preserve">Шаги и параметры:</w:t>
      </w:r>
      <w:r>
        <w:t xml:space="preserve"> </w:t>
      </w:r>
      <w:r>
        <w:t xml:space="preserve">отдельно проверить увеличение текста и перекомпоновку. Увеличить текст до выбранного предела и пройти обязательные сценарии. Затем получить область 320 CSS px по ширине или 256 CSS px по высоте изменением масштаба содержимого, размера окна, разрешения либо средствами платформы; проверить обрезание, наложение, команды, сообщения, фокус и необходимость прокрутки в двух измерениях. Для каждой части с двумерной прокруткой записать, необходима ли двумерная компоновка для использования или смысла; допустимые примеры включают карту, диаграмму, видео, презентацию, таблицу данных целиком и интерфейс, где при работе нужно одновременно видеть панель инструментов и содержимое.</w:t>
      </w:r>
    </w:p>
    <w:p>
      <w:pPr>
        <w:pStyle w:val="Compact"/>
        <w:numPr>
          <w:ilvl w:val="0"/>
          <w:numId w:val="1010"/>
        </w:numPr>
      </w:pPr>
      <w:r>
        <w:rPr>
          <w:b/>
          <w:bCs/>
        </w:rPr>
        <w:t xml:space="preserve">Прохождение/нарушение:</w:t>
      </w:r>
      <w:r>
        <w:t xml:space="preserve"> </w:t>
      </w:r>
      <w:r>
        <w:t xml:space="preserve">проходит, если при увеличении текста информация и функции сохраняются, а в конфигурации перекомпоновки нет потери информации или функций и обязательной прокрутки в двух измерениях, кроме обоснованных частей с необходимой двумерной компоновкой. Нарушение при скрытой команде, недоступном сообщении, перекрытии без обхода, потере функции или необоснованной двумерной прокрутке.</w:t>
      </w:r>
    </w:p>
    <w:p>
      <w:pPr>
        <w:pStyle w:val="Compact"/>
        <w:numPr>
          <w:ilvl w:val="0"/>
          <w:numId w:val="1010"/>
        </w:numPr>
      </w:pPr>
      <w:r>
        <w:rPr>
          <w:b/>
          <w:bCs/>
        </w:rPr>
        <w:t xml:space="preserve">NA/не проверено:</w:t>
      </w:r>
      <w:r>
        <w:t xml:space="preserve"> </w:t>
      </w:r>
      <w:r>
        <w:t xml:space="preserve">NA не применяется к визуальному приложению. Если платформа не позволяет достичь 320 или 256 CSS px, результат перекомпоновки имеет статус «не проверено» с фактическим ближайшим размером и причиной; минимальный поддерживаемый размер окна не заменяет нормативный порог.</w:t>
      </w:r>
    </w:p>
    <w:p>
      <w:pPr>
        <w:pStyle w:val="Compact"/>
        <w:numPr>
          <w:ilvl w:val="0"/>
          <w:numId w:val="1010"/>
        </w:numPr>
      </w:pPr>
      <w:r>
        <w:rPr>
          <w:b/>
          <w:bCs/>
        </w:rPr>
        <w:t xml:space="preserve">Минимальное доказательство:</w:t>
      </w:r>
      <w:r>
        <w:t xml:space="preserve"> </w:t>
      </w:r>
      <w:r>
        <w:t xml:space="preserve">параметры дисплея, масштаба и области в CSS px или расчет эквивалента, снимки, перечень двумерных исключений с обоснованием и шаг, который нельзя завершить.</w:t>
      </w:r>
    </w:p>
    <w:p>
      <w:pPr>
        <w:pStyle w:val="Compact"/>
        <w:numPr>
          <w:ilvl w:val="0"/>
          <w:numId w:val="1010"/>
        </w:numPr>
      </w:pPr>
      <w:r>
        <w:rPr>
          <w:b/>
          <w:bCs/>
        </w:rPr>
        <w:t xml:space="preserve">Нормативная ссылка:</w:t>
      </w:r>
      <w:r>
        <w:t xml:space="preserve"> </w:t>
      </w:r>
      <w:hyperlink r:id="rId20">
        <w:r>
          <w:rPr>
            <w:rStyle w:val="Hyperlink"/>
          </w:rPr>
          <w:t xml:space="preserve">EN 301 549 V4.1.1, 11.1.4.4, 11.1.4.10</w:t>
        </w:r>
      </w:hyperlink>
      <w:r>
        <w:t xml:space="preserve">,</w:t>
      </w:r>
      <w:r>
        <w:t xml:space="preserve"> </w:t>
      </w:r>
      <w:hyperlink r:id="rId33">
        <w:r>
          <w:rPr>
            <w:rStyle w:val="Hyperlink"/>
          </w:rPr>
          <w:t xml:space="preserve">WCAG 2.2, 1.4.4</w:t>
        </w:r>
      </w:hyperlink>
      <w:r>
        <w:t xml:space="preserve">.</w:t>
      </w:r>
    </w:p>
    <w:p>
      <w:pPr>
        <w:pStyle w:val="Compact"/>
        <w:numPr>
          <w:ilvl w:val="0"/>
          <w:numId w:val="1010"/>
        </w:numPr>
      </w:pPr>
      <w:r>
        <w:rPr>
          <w:b/>
          <w:bCs/>
        </w:rPr>
        <w:t xml:space="preserve">Граница проекта:</w:t>
      </w:r>
      <w:r>
        <w:t xml:space="preserve"> </w:t>
      </w:r>
      <w:r>
        <w:t xml:space="preserve">400 процентов является только способом получить 320 CSS px из исходной области 1280 CSS px или 256 CSS px из 1024 px. Утверждение о масштабе 400 процентов допустимо только для фактически проверенной конфигурации.</w:t>
      </w:r>
    </w:p>
    <w:bookmarkEnd w:id="34"/>
    <w:bookmarkStart w:id="36" w:name="г-10.-контраст-и-передача-смысла"/>
    <w:p>
      <w:pPr>
        <w:pStyle w:val="Heading3"/>
      </w:pPr>
      <w:bookmarkStart w:id="2036" w:name="_TocAnchor95_2035"/>
      <w:r>
        <w:t xml:space="preserve">Г-10. Контраст и передача смысла</w:t>
      </w:r>
      <w:bookmarkEnd w:id="2036"/>
    </w:p>
    <w:p>
      <w:pPr>
        <w:pStyle w:val="Compact"/>
        <w:numPr>
          <w:ilvl w:val="0"/>
          <w:numId w:val="1011"/>
        </w:numPr>
      </w:pPr>
      <w:r>
        <w:rPr>
          <w:b/>
          <w:bCs/>
        </w:rPr>
        <w:t xml:space="preserve">Применимость:</w:t>
      </w:r>
      <w:r>
        <w:t xml:space="preserve"> </w:t>
      </w:r>
      <w:r>
        <w:t xml:space="preserve">текст, значимые границы, состояния, значки, диаграммы и выделение.</w:t>
      </w:r>
    </w:p>
    <w:p>
      <w:pPr>
        <w:pStyle w:val="Compact"/>
        <w:numPr>
          <w:ilvl w:val="0"/>
          <w:numId w:val="1011"/>
        </w:numPr>
      </w:pPr>
      <w:r>
        <w:rPr>
          <w:b/>
          <w:bCs/>
        </w:rPr>
        <w:t xml:space="preserve">Предусловия:</w:t>
      </w:r>
      <w:r>
        <w:t xml:space="preserve"> </w:t>
      </w:r>
      <w:r>
        <w:t xml:space="preserve">профиль WCAG 2.2 уровня AA, обычная и высокая контрастность, измеритель цвета, перечень состояний. Крупным считается текст не менее 18 пунктов либо не менее 14 пунктов полужирного начертания, с эквивалентным размером для иных письменностей.</w:t>
      </w:r>
    </w:p>
    <w:p>
      <w:pPr>
        <w:pStyle w:val="Compact"/>
        <w:numPr>
          <w:ilvl w:val="0"/>
          <w:numId w:val="1011"/>
        </w:numPr>
      </w:pPr>
      <w:r>
        <w:rPr>
          <w:b/>
          <w:bCs/>
        </w:rPr>
        <w:t xml:space="preserve">Шаги и параметры:</w:t>
      </w:r>
      <w:r>
        <w:t xml:space="preserve"> </w:t>
      </w:r>
      <w:r>
        <w:t xml:space="preserve">измерить контраст обычного текста, крупного текста и необходимых нетекстовых элементов; проверить исключения профиля; отключить цвет или применить системные цвета; определить, сохраняются ли название, состояние и различимость без цвета.</w:t>
      </w:r>
    </w:p>
    <w:p>
      <w:pPr>
        <w:pStyle w:val="Compact"/>
        <w:numPr>
          <w:ilvl w:val="0"/>
          <w:numId w:val="1011"/>
        </w:numPr>
      </w:pPr>
      <w:r>
        <w:rPr>
          <w:b/>
          <w:bCs/>
        </w:rPr>
        <w:t xml:space="preserve">Прохождение/нарушение:</w:t>
      </w:r>
      <w:r>
        <w:t xml:space="preserve"> </w:t>
      </w:r>
      <w:r>
        <w:t xml:space="preserve">проходит, если обычный текст имеет коэффициент не менее 4,5:1, крупный текст не менее 3:1, а необходимые для различения компоненты, состояния и графические объекты не менее 3:1 к соседним цветам с учетом исключений WCAG 2.2; цвет не является единственным визуальным способом передать информацию, действие, запрос ответа или различие. Нарушение при меньшем коэффициенте без исключения или потере смысла без цвета.</w:t>
      </w:r>
    </w:p>
    <w:p>
      <w:pPr>
        <w:pStyle w:val="Compact"/>
        <w:numPr>
          <w:ilvl w:val="0"/>
          <w:numId w:val="1011"/>
        </w:numPr>
      </w:pPr>
      <w:r>
        <w:rPr>
          <w:b/>
          <w:bCs/>
        </w:rPr>
        <w:t xml:space="preserve">NA/не проверено:</w:t>
      </w:r>
      <w:r>
        <w:t xml:space="preserve"> </w:t>
      </w:r>
      <w:r>
        <w:t xml:space="preserve">NA для невизуального объекта; не проверено, если цвет формируется внешним недоступным источником.</w:t>
      </w:r>
    </w:p>
    <w:p>
      <w:pPr>
        <w:pStyle w:val="Compact"/>
        <w:numPr>
          <w:ilvl w:val="0"/>
          <w:numId w:val="1011"/>
        </w:numPr>
      </w:pPr>
      <w:r>
        <w:rPr>
          <w:b/>
          <w:bCs/>
        </w:rPr>
        <w:t xml:space="preserve">Минимальное доказательство:</w:t>
      </w:r>
      <w:r>
        <w:t xml:space="preserve"> </w:t>
      </w:r>
      <w:r>
        <w:t xml:space="preserve">снимок, координаты цветов, расчет коэффициента и описание утраченного смысла.</w:t>
      </w:r>
    </w:p>
    <w:p>
      <w:pPr>
        <w:pStyle w:val="Compact"/>
        <w:numPr>
          <w:ilvl w:val="0"/>
          <w:numId w:val="1011"/>
        </w:numPr>
      </w:pPr>
      <w:r>
        <w:rPr>
          <w:b/>
          <w:bCs/>
        </w:rPr>
        <w:t xml:space="preserve">Нормативная ссылка:</w:t>
      </w:r>
      <w:r>
        <w:t xml:space="preserve"> </w:t>
      </w:r>
      <w:hyperlink r:id="rId20">
        <w:r>
          <w:rPr>
            <w:rStyle w:val="Hyperlink"/>
          </w:rPr>
          <w:t xml:space="preserve">EN 301 549 V4.1.1, 11.1.4.1, 11.1.4.3, 11.1.4.11</w:t>
        </w:r>
      </w:hyperlink>
      <w:r>
        <w:t xml:space="preserve">,</w:t>
      </w:r>
      <w:r>
        <w:t xml:space="preserve"> </w:t>
      </w:r>
      <w:hyperlink r:id="rId35">
        <w:r>
          <w:rPr>
            <w:rStyle w:val="Hyperlink"/>
          </w:rPr>
          <w:t xml:space="preserve">WCAG 2.2, 1.4.1</w:t>
        </w:r>
      </w:hyperlink>
      <w:r>
        <w:t xml:space="preserve">.</w:t>
      </w:r>
    </w:p>
    <w:p>
      <w:pPr>
        <w:pStyle w:val="Compact"/>
        <w:numPr>
          <w:ilvl w:val="0"/>
          <w:numId w:val="1011"/>
        </w:numPr>
      </w:pPr>
      <w:r>
        <w:rPr>
          <w:b/>
          <w:bCs/>
        </w:rPr>
        <w:t xml:space="preserve">Граница проекта:</w:t>
      </w:r>
      <w:r>
        <w:t xml:space="preserve"> </w:t>
      </w:r>
      <w:r>
        <w:t xml:space="preserve">контраст интерфейса и контраст создаваемого содержимого записываются раздельно. Запрет использовать только форму или положение действует как</w:t>
      </w:r>
      <w:r>
        <w:t xml:space="preserve"> </w:t>
      </w:r>
      <w:r>
        <w:rPr>
          <w:b/>
          <w:bCs/>
        </w:rPr>
        <w:t xml:space="preserve">Предложение проекта</w:t>
      </w:r>
      <w:r>
        <w:t xml:space="preserve">, если состояние иначе не определяется программно.</w:t>
      </w:r>
    </w:p>
    <w:bookmarkEnd w:id="36"/>
    <w:bookmarkStart w:id="38" w:name="г-11.-горячие-клавиши-и-конфликты"/>
    <w:p>
      <w:pPr>
        <w:pStyle w:val="Heading3"/>
      </w:pPr>
      <w:bookmarkStart w:id="2038" w:name="_TocAnchor104_2037"/>
      <w:r>
        <w:t xml:space="preserve">Г-11. Горячие клавиши и конфликты</w:t>
      </w:r>
      <w:bookmarkEnd w:id="2038"/>
    </w:p>
    <w:p>
      <w:pPr>
        <w:pStyle w:val="Compact"/>
        <w:numPr>
          <w:ilvl w:val="0"/>
          <w:numId w:val="1012"/>
        </w:numPr>
      </w:pPr>
      <w:r>
        <w:rPr>
          <w:b/>
          <w:bCs/>
        </w:rPr>
        <w:t xml:space="preserve">Применимость:</w:t>
      </w:r>
      <w:r>
        <w:t xml:space="preserve"> </w:t>
      </w:r>
      <w:r>
        <w:t xml:space="preserve">все односимвольные и составные команды приложения.</w:t>
      </w:r>
    </w:p>
    <w:p>
      <w:pPr>
        <w:pStyle w:val="Compact"/>
        <w:numPr>
          <w:ilvl w:val="0"/>
          <w:numId w:val="1012"/>
        </w:numPr>
      </w:pPr>
      <w:r>
        <w:rPr>
          <w:b/>
          <w:bCs/>
        </w:rPr>
        <w:t xml:space="preserve">Предусловия:</w:t>
      </w:r>
      <w:r>
        <w:t xml:space="preserve"> </w:t>
      </w:r>
      <w:r>
        <w:t xml:space="preserve">реестр команд, системные и вспомогательные сочетания выбранной конфигурации.</w:t>
      </w:r>
    </w:p>
    <w:p>
      <w:pPr>
        <w:pStyle w:val="Compact"/>
        <w:numPr>
          <w:ilvl w:val="0"/>
          <w:numId w:val="1012"/>
        </w:numPr>
      </w:pPr>
      <w:r>
        <w:rPr>
          <w:b/>
          <w:bCs/>
        </w:rPr>
        <w:t xml:space="preserve">Шаги и параметры:</w:t>
      </w:r>
      <w:r>
        <w:t xml:space="preserve"> </w:t>
      </w:r>
      <w:r>
        <w:t xml:space="preserve">найти сочетание в интерфейсе или документации; вызвать команды при фокусе в разных областях; проверить отключение, переназначение или ограничение односимвольных команд; для остальных заявленных сочетаний проверить доступный способ переназначения либо документированное разрешение конфликта; сопоставить сочетания с платформой и вспомогательной технологией, воспроизвести каждый конфликт и проверить результат после разрешения.</w:t>
      </w:r>
    </w:p>
    <w:p>
      <w:pPr>
        <w:pStyle w:val="Compact"/>
        <w:numPr>
          <w:ilvl w:val="0"/>
          <w:numId w:val="1012"/>
        </w:numPr>
      </w:pPr>
      <w:r>
        <w:rPr>
          <w:b/>
          <w:bCs/>
        </w:rPr>
        <w:t xml:space="preserve">Прохождение/нарушение:</w:t>
      </w:r>
      <w:r>
        <w:t xml:space="preserve"> </w:t>
      </w:r>
      <w:r>
        <w:t xml:space="preserve">проходит, если сочетания обнаруживаемы, односимвольные команды управляемы, а конфликт с критической командой платформы или вспомогательной технологии можно устранить переназначением, отключением или доступной альтернативной командой. Нарушение при случайной активации, скрытом сочетании, неустранимом конфликте или потере критической команды.</w:t>
      </w:r>
    </w:p>
    <w:p>
      <w:pPr>
        <w:pStyle w:val="Compact"/>
        <w:numPr>
          <w:ilvl w:val="0"/>
          <w:numId w:val="1012"/>
        </w:numPr>
      </w:pPr>
      <w:r>
        <w:rPr>
          <w:b/>
          <w:bCs/>
        </w:rPr>
        <w:t xml:space="preserve">NA/не проверено:</w:t>
      </w:r>
      <w:r>
        <w:t xml:space="preserve"> </w:t>
      </w:r>
      <w:r>
        <w:t xml:space="preserve">NA для приложения без таких команд; не проверено без выбранной вспомогательной технологии.</w:t>
      </w:r>
    </w:p>
    <w:p>
      <w:pPr>
        <w:pStyle w:val="Compact"/>
        <w:numPr>
          <w:ilvl w:val="0"/>
          <w:numId w:val="1012"/>
        </w:numPr>
      </w:pPr>
      <w:r>
        <w:rPr>
          <w:b/>
          <w:bCs/>
        </w:rPr>
        <w:t xml:space="preserve">Минимальное доказательство:</w:t>
      </w:r>
      <w:r>
        <w:t xml:space="preserve"> </w:t>
      </w:r>
      <w:r>
        <w:t xml:space="preserve">таблица «команда, контекст, сочетание, конфликт, настройка, результат».</w:t>
      </w:r>
    </w:p>
    <w:p>
      <w:pPr>
        <w:pStyle w:val="Compact"/>
        <w:numPr>
          <w:ilvl w:val="0"/>
          <w:numId w:val="1012"/>
        </w:numPr>
      </w:pPr>
      <w:r>
        <w:rPr>
          <w:b/>
          <w:bCs/>
        </w:rPr>
        <w:t xml:space="preserve">Нормативная ссылка:</w:t>
      </w:r>
      <w:r>
        <w:t xml:space="preserve"> </w:t>
      </w:r>
      <w:hyperlink r:id="rId20">
        <w:r>
          <w:rPr>
            <w:rStyle w:val="Hyperlink"/>
          </w:rPr>
          <w:t xml:space="preserve">EN 301 549 V4.1.1, 11.2.1.4, 11.6.2</w:t>
        </w:r>
      </w:hyperlink>
      <w:r>
        <w:t xml:space="preserve">,</w:t>
      </w:r>
      <w:r>
        <w:t xml:space="preserve"> </w:t>
      </w:r>
      <w:hyperlink r:id="rId37">
        <w:r>
          <w:rPr>
            <w:rStyle w:val="Hyperlink"/>
          </w:rPr>
          <w:t xml:space="preserve">WCAG 2.2, 2.1.4</w:t>
        </w:r>
      </w:hyperlink>
      <w:r>
        <w:t xml:space="preserve">.</w:t>
      </w:r>
    </w:p>
    <w:p>
      <w:pPr>
        <w:pStyle w:val="Compact"/>
        <w:numPr>
          <w:ilvl w:val="0"/>
          <w:numId w:val="1012"/>
        </w:numPr>
      </w:pPr>
      <w:r>
        <w:rPr>
          <w:b/>
          <w:bCs/>
        </w:rPr>
        <w:t xml:space="preserve">Граница проекта:</w:t>
      </w:r>
      <w:r>
        <w:t xml:space="preserve"> </w:t>
      </w:r>
      <w:r>
        <w:t xml:space="preserve">обнаруживаемость и полная матрица конфликтов для всех сочетаний шире требования к односимвольным командам и являются</w:t>
      </w:r>
      <w:r>
        <w:t xml:space="preserve"> </w:t>
      </w:r>
      <w:r>
        <w:rPr>
          <w:b/>
          <w:bCs/>
        </w:rPr>
        <w:t xml:space="preserve">Предложением проекта</w:t>
      </w:r>
      <w:r>
        <w:t xml:space="preserve">.</w:t>
      </w:r>
    </w:p>
    <w:bookmarkEnd w:id="38"/>
    <w:bookmarkStart w:id="41" w:name="X5a8d60a6fd903c1771744573be3d4b5d3da87b3"/>
    <w:p>
      <w:pPr>
        <w:pStyle w:val="Heading3"/>
      </w:pPr>
      <w:bookmarkStart w:id="2040" w:name="_TocAnchor113_2039"/>
      <w:r>
        <w:t xml:space="preserve">Г-12. Альтернативный ввод, перетаскивание и размер цели</w:t>
      </w:r>
      <w:bookmarkEnd w:id="2040"/>
    </w:p>
    <w:p>
      <w:pPr>
        <w:pStyle w:val="Compact"/>
        <w:numPr>
          <w:ilvl w:val="0"/>
          <w:numId w:val="1013"/>
        </w:numPr>
      </w:pPr>
      <w:r>
        <w:rPr>
          <w:b/>
          <w:bCs/>
        </w:rPr>
        <w:t xml:space="preserve">Применимость:</w:t>
      </w:r>
      <w:r>
        <w:t xml:space="preserve"> </w:t>
      </w:r>
      <w:r>
        <w:t xml:space="preserve">действия указателем, перетаскивание, изменение размеров, разделители и малые цели.</w:t>
      </w:r>
    </w:p>
    <w:p>
      <w:pPr>
        <w:pStyle w:val="Compact"/>
        <w:numPr>
          <w:ilvl w:val="0"/>
          <w:numId w:val="1013"/>
        </w:numPr>
      </w:pPr>
      <w:r>
        <w:rPr>
          <w:b/>
          <w:bCs/>
        </w:rPr>
        <w:t xml:space="preserve">Предусловия:</w:t>
      </w:r>
      <w:r>
        <w:t xml:space="preserve"> </w:t>
      </w:r>
      <w:r>
        <w:t xml:space="preserve">инвентаризация действий, клавиатурный и выбранный альтернативный ввод, масштаб с пересчетом в CSS px.</w:t>
      </w:r>
    </w:p>
    <w:p>
      <w:pPr>
        <w:pStyle w:val="Compact"/>
        <w:numPr>
          <w:ilvl w:val="0"/>
          <w:numId w:val="1013"/>
        </w:numPr>
      </w:pPr>
      <w:r>
        <w:rPr>
          <w:b/>
          <w:bCs/>
        </w:rPr>
        <w:t xml:space="preserve">Шаги и параметры:</w:t>
      </w:r>
      <w:r>
        <w:t xml:space="preserve"> </w:t>
      </w:r>
      <w:r>
        <w:t xml:space="preserve">выполнить каждое перетаскивание клавиатурой и одним указателем без перетаскивания; измерить каждую цель меньше 24 x 24 CSS px и интервалы вокруг нее; для каждой малой цели проверить одно из пяти исключений: достаточный интервал, эквивалентный элемент не меньше 24 x 24 CSS px в том же приложении, цель внутри строки текста, размер задан платформой и не изменен приложением, либо конкретный размер необходим или предписан. Отдельно по правилу проекта повторить прочие точные действия выбранным альтернативным вводом.</w:t>
      </w:r>
    </w:p>
    <w:p>
      <w:pPr>
        <w:pStyle w:val="Compact"/>
        <w:numPr>
          <w:ilvl w:val="0"/>
          <w:numId w:val="1013"/>
        </w:numPr>
      </w:pPr>
      <w:r>
        <w:rPr>
          <w:b/>
          <w:bCs/>
        </w:rPr>
        <w:t xml:space="preserve">Прохождение/нарушение:</w:t>
      </w:r>
      <w:r>
        <w:t xml:space="preserve"> </w:t>
      </w:r>
      <w:r>
        <w:t xml:space="preserve">нормативная часть проходит, если перетаскивание имеет клавиатурный способ по EN 11.2.1.1 и способ одним указателем без перетаскивания по EN 11.2.5.7, кроме существенного перетаскивания или действия нижележащего слоя, а каждая цель имеет размер не менее 24 x 24 CSS px либо документированное исключение EN 11.2.5.8. Нарушение при отсутствии требуемой альтернативы или недостаточном размере без исключения.</w:t>
      </w:r>
      <w:r>
        <w:t xml:space="preserve"> </w:t>
      </w:r>
      <w:r>
        <w:rPr>
          <w:b/>
          <w:bCs/>
        </w:rPr>
        <w:t xml:space="preserve">Предложение проекта:</w:t>
      </w:r>
      <w:r>
        <w:t xml:space="preserve"> </w:t>
      </w:r>
      <w:r>
        <w:t xml:space="preserve">прочее действие проходит без точного движения в выбранной конфигурации.</w:t>
      </w:r>
    </w:p>
    <w:p>
      <w:pPr>
        <w:pStyle w:val="Compact"/>
        <w:numPr>
          <w:ilvl w:val="0"/>
          <w:numId w:val="1013"/>
        </w:numPr>
      </w:pPr>
      <w:r>
        <w:rPr>
          <w:b/>
          <w:bCs/>
        </w:rPr>
        <w:t xml:space="preserve">NA/не проверено:</w:t>
      </w:r>
      <w:r>
        <w:t xml:space="preserve"> </w:t>
      </w:r>
      <w:r>
        <w:t xml:space="preserve">NA для единицы без указательных действий; не проверено без применимой конфигурации альтернативного ввода.</w:t>
      </w:r>
    </w:p>
    <w:p>
      <w:pPr>
        <w:pStyle w:val="Compact"/>
        <w:numPr>
          <w:ilvl w:val="0"/>
          <w:numId w:val="1013"/>
        </w:numPr>
      </w:pPr>
      <w:r>
        <w:rPr>
          <w:b/>
          <w:bCs/>
        </w:rPr>
        <w:t xml:space="preserve">Минимальное доказательство:</w:t>
      </w:r>
      <w:r>
        <w:t xml:space="preserve"> </w:t>
      </w:r>
      <w:r>
        <w:t xml:space="preserve">действие, альтернативная последовательность, размеры цели и снимок.</w:t>
      </w:r>
    </w:p>
    <w:p>
      <w:pPr>
        <w:pStyle w:val="Compact"/>
        <w:numPr>
          <w:ilvl w:val="0"/>
          <w:numId w:val="1013"/>
        </w:numPr>
      </w:pPr>
      <w:r>
        <w:rPr>
          <w:b/>
          <w:bCs/>
        </w:rPr>
        <w:t xml:space="preserve">Нормативная ссылка:</w:t>
      </w:r>
      <w:r>
        <w:t xml:space="preserve"> </w:t>
      </w:r>
      <w:hyperlink r:id="rId20">
        <w:r>
          <w:rPr>
            <w:rStyle w:val="Hyperlink"/>
          </w:rPr>
          <w:t xml:space="preserve">EN 301 549 V4.1.1, 11.2.1.1, 11.2.5.7-11.2.5.8</w:t>
        </w:r>
      </w:hyperlink>
      <w:r>
        <w:t xml:space="preserve">,</w:t>
      </w:r>
      <w:r>
        <w:t xml:space="preserve"> </w:t>
      </w:r>
      <w:hyperlink r:id="rId39">
        <w:r>
          <w:rPr>
            <w:rStyle w:val="Hyperlink"/>
          </w:rPr>
          <w:t xml:space="preserve">WCAG 2.2, 2.5.7</w:t>
        </w:r>
      </w:hyperlink>
      <w:r>
        <w:t xml:space="preserve">,</w:t>
      </w:r>
      <w:r>
        <w:t xml:space="preserve"> </w:t>
      </w:r>
      <w:hyperlink r:id="rId40">
        <w:r>
          <w:rPr>
            <w:rStyle w:val="Hyperlink"/>
          </w:rPr>
          <w:t xml:space="preserve">2.5.8</w:t>
        </w:r>
      </w:hyperlink>
      <w:r>
        <w:t xml:space="preserve">.</w:t>
      </w:r>
    </w:p>
    <w:p>
      <w:pPr>
        <w:pStyle w:val="Compact"/>
        <w:numPr>
          <w:ilvl w:val="0"/>
          <w:numId w:val="1013"/>
        </w:numPr>
      </w:pPr>
      <w:r>
        <w:rPr>
          <w:b/>
          <w:bCs/>
        </w:rPr>
        <w:t xml:space="preserve">Граница проекта:</w:t>
      </w:r>
      <w:r>
        <w:t xml:space="preserve"> </w:t>
      </w:r>
      <w:r>
        <w:t xml:space="preserve">самостоятельное требование «без точного движения» не следует из EN 11.2.5.7-11.2.5.8 и проверяется как</w:t>
      </w:r>
      <w:r>
        <w:t xml:space="preserve"> </w:t>
      </w:r>
      <w:r>
        <w:rPr>
          <w:b/>
          <w:bCs/>
        </w:rPr>
        <w:t xml:space="preserve">Предложение проекта</w:t>
      </w:r>
      <w:r>
        <w:t xml:space="preserve">. Голосовой и переключательный ввод добавляется при наличии аудитории или заявленной поддержки.</w:t>
      </w:r>
    </w:p>
    <w:bookmarkEnd w:id="41"/>
    <w:bookmarkStart w:id="42" w:name="г-13.-время-движение-и-вспышки"/>
    <w:p>
      <w:pPr>
        <w:pStyle w:val="Heading3"/>
      </w:pPr>
      <w:bookmarkStart w:id="2042" w:name="_TocAnchor122_2041"/>
      <w:r>
        <w:t xml:space="preserve">Г-13. Время, движение и вспышки</w:t>
      </w:r>
      <w:bookmarkEnd w:id="2042"/>
    </w:p>
    <w:p>
      <w:pPr>
        <w:pStyle w:val="Compact"/>
        <w:numPr>
          <w:ilvl w:val="0"/>
          <w:numId w:val="1014"/>
        </w:numPr>
      </w:pPr>
      <w:r>
        <w:rPr>
          <w:b/>
          <w:bCs/>
        </w:rPr>
        <w:t xml:space="preserve">Применимость:</w:t>
      </w:r>
      <w:r>
        <w:t xml:space="preserve"> </w:t>
      </w:r>
      <w:r>
        <w:t xml:space="preserve">тайм-ауты, автосохранение с ограничением, анимация, мигание, автоматические переходы и обновления.</w:t>
      </w:r>
    </w:p>
    <w:p>
      <w:pPr>
        <w:pStyle w:val="Compact"/>
        <w:numPr>
          <w:ilvl w:val="0"/>
          <w:numId w:val="1014"/>
        </w:numPr>
      </w:pPr>
      <w:r>
        <w:rPr>
          <w:b/>
          <w:bCs/>
        </w:rPr>
        <w:t xml:space="preserve">Предусловия:</w:t>
      </w:r>
      <w:r>
        <w:t xml:space="preserve"> </w:t>
      </w:r>
      <w:r>
        <w:t xml:space="preserve">известные интервалы, тестовое состояние перед истечением, средство записи времени и кадров, выбранный способ оценки порогов общей и красной вспышки.</w:t>
      </w:r>
    </w:p>
    <w:p>
      <w:pPr>
        <w:pStyle w:val="Compact"/>
        <w:numPr>
          <w:ilvl w:val="0"/>
          <w:numId w:val="1014"/>
        </w:numPr>
      </w:pPr>
      <w:r>
        <w:rPr>
          <w:b/>
          <w:bCs/>
        </w:rPr>
        <w:t xml:space="preserve">Шаги и параметры:</w:t>
      </w:r>
      <w:r>
        <w:t xml:space="preserve"> </w:t>
      </w:r>
      <w:r>
        <w:t xml:space="preserve">для каждого лимита проверить одну ветвь EN 11.2.2.1: отключение заранее; изменение не менее чем в десять раз; предупреждение не менее чем за 20 секунд с простым продлением не менее десяти раз; либо одно из исключений для события реального времени, существенности или лимита более 20 часов. Для движения, мигания или прокрутки, которые запускаются автоматически, длятся более пяти секунд и идут параллельно с иным содержимым, проверить паузу, остановку или скрытие, если эффект не существенен; для автообновления проверить также управление частотой. Просмотреть покадровую запись во всех скользящих интервалах длиной одна секунда; если есть более трех вспышек, измерить пороги общей и красной вспышки выбранным анализатором и сохранить его настройки.</w:t>
      </w:r>
    </w:p>
    <w:p>
      <w:pPr>
        <w:pStyle w:val="Compact"/>
        <w:numPr>
          <w:ilvl w:val="0"/>
          <w:numId w:val="1014"/>
        </w:numPr>
      </w:pPr>
      <w:r>
        <w:rPr>
          <w:b/>
          <w:bCs/>
        </w:rPr>
        <w:t xml:space="preserve">Прохождение/нарушение:</w:t>
      </w:r>
      <w:r>
        <w:t xml:space="preserve"> </w:t>
      </w:r>
      <w:r>
        <w:t xml:space="preserve">проходит, если для каждого лимита выполнена одна нормативная ветвь, применимое движение и обновление управляемы, а интерфейс не создает более трех вспышек за любую секунду либо вспышки ниже порогов общей и красной вспышки. Нарушение при невыполненном условии, потере данных или неконтролируемом эффекте.</w:t>
      </w:r>
    </w:p>
    <w:p>
      <w:pPr>
        <w:pStyle w:val="Compact"/>
        <w:numPr>
          <w:ilvl w:val="0"/>
          <w:numId w:val="1014"/>
        </w:numPr>
      </w:pPr>
      <w:r>
        <w:rPr>
          <w:b/>
          <w:bCs/>
        </w:rPr>
        <w:t xml:space="preserve">NA/не проверено:</w:t>
      </w:r>
      <w:r>
        <w:t xml:space="preserve"> </w:t>
      </w:r>
      <w:r>
        <w:t xml:space="preserve">NA при отсутствии времени, движения и вспышек; не проверено, если ожидание создает внешнее последствие.</w:t>
      </w:r>
    </w:p>
    <w:p>
      <w:pPr>
        <w:pStyle w:val="Compact"/>
        <w:numPr>
          <w:ilvl w:val="0"/>
          <w:numId w:val="1014"/>
        </w:numPr>
      </w:pPr>
      <w:r>
        <w:rPr>
          <w:b/>
          <w:bCs/>
        </w:rPr>
        <w:t xml:space="preserve">Минимальное доказательство:</w:t>
      </w:r>
      <w:r>
        <w:t xml:space="preserve"> </w:t>
      </w:r>
      <w:r>
        <w:t xml:space="preserve">временная шкала с выбранной ветвью или исключением, настройки, покадровая запись эффекта, число вспышек и при необходимости отчет анализатора порогов.</w:t>
      </w:r>
    </w:p>
    <w:p>
      <w:pPr>
        <w:pStyle w:val="Compact"/>
        <w:numPr>
          <w:ilvl w:val="0"/>
          <w:numId w:val="1014"/>
        </w:numPr>
      </w:pPr>
      <w:r>
        <w:rPr>
          <w:b/>
          <w:bCs/>
        </w:rPr>
        <w:t xml:space="preserve">Нормативная ссылка:</w:t>
      </w:r>
      <w:r>
        <w:t xml:space="preserve"> </w:t>
      </w:r>
      <w:hyperlink r:id="rId20">
        <w:r>
          <w:rPr>
            <w:rStyle w:val="Hyperlink"/>
          </w:rPr>
          <w:t xml:space="preserve">EN 301 549 V4.1.1, 11.2.2.1-11.2.2.2, 11.2.3.1</w:t>
        </w:r>
      </w:hyperlink>
      <w:r>
        <w:t xml:space="preserve">.</w:t>
      </w:r>
    </w:p>
    <w:p>
      <w:pPr>
        <w:pStyle w:val="Compact"/>
        <w:numPr>
          <w:ilvl w:val="0"/>
          <w:numId w:val="1014"/>
        </w:numPr>
      </w:pPr>
      <w:r>
        <w:rPr>
          <w:b/>
          <w:bCs/>
        </w:rPr>
        <w:t xml:space="preserve">Граница проекта:</w:t>
      </w:r>
      <w:r>
        <w:t xml:space="preserve"> </w:t>
      </w:r>
      <w:r>
        <w:t xml:space="preserve">локальное отключение необязательного движения применяется как предложение проекта, если системная настройка не охвачена источником.</w:t>
      </w:r>
    </w:p>
    <w:bookmarkEnd w:id="42"/>
    <w:bookmarkStart w:id="43" w:name="г-14.-ввод-и-редактирование-текста"/>
    <w:p>
      <w:pPr>
        <w:pStyle w:val="Heading3"/>
      </w:pPr>
      <w:bookmarkStart w:id="2044" w:name="_TocAnchor131_2043"/>
      <w:r>
        <w:t xml:space="preserve">Г-14. Ввод и редактирование текста</w:t>
      </w:r>
      <w:bookmarkEnd w:id="2044"/>
    </w:p>
    <w:p>
      <w:pPr>
        <w:pStyle w:val="Compact"/>
        <w:numPr>
          <w:ilvl w:val="0"/>
          <w:numId w:val="1015"/>
        </w:numPr>
      </w:pPr>
      <w:r>
        <w:rPr>
          <w:b/>
          <w:bCs/>
        </w:rPr>
        <w:t xml:space="preserve">Применимость:</w:t>
      </w:r>
      <w:r>
        <w:t xml:space="preserve"> </w:t>
      </w:r>
      <w:r>
        <w:t xml:space="preserve">поля ввода и редакторы текста, формул, заметок и подписей.</w:t>
      </w:r>
    </w:p>
    <w:p>
      <w:pPr>
        <w:pStyle w:val="Compact"/>
        <w:numPr>
          <w:ilvl w:val="0"/>
          <w:numId w:val="1015"/>
        </w:numPr>
      </w:pPr>
      <w:r>
        <w:rPr>
          <w:b/>
          <w:bCs/>
        </w:rPr>
        <w:t xml:space="preserve">Предусловия:</w:t>
      </w:r>
      <w:r>
        <w:t xml:space="preserve"> </w:t>
      </w:r>
      <w:r>
        <w:t xml:space="preserve">текст с разными языками и форматами, программа экранного доступа; для редактора текстовых данных брайлевский дисплей с клавишами маршрутизации в конфигурации из Г.4.</w:t>
      </w:r>
    </w:p>
    <w:p>
      <w:pPr>
        <w:pStyle w:val="Compact"/>
        <w:numPr>
          <w:ilvl w:val="0"/>
          <w:numId w:val="1015"/>
        </w:numPr>
      </w:pPr>
      <w:r>
        <w:rPr>
          <w:b/>
          <w:bCs/>
        </w:rPr>
        <w:t xml:space="preserve">Шаги и параметры:</w:t>
      </w:r>
      <w:r>
        <w:t xml:space="preserve"> </w:t>
      </w:r>
      <w:r>
        <w:t xml:space="preserve">в каждой редактируемой области читать по символам, словам, строкам, абзацам и страницам, если приложение делит содержимое на страницы; перемещать каретку; расширять выделение; изменять и отменять текст и формат; проверить объявление границ и атрибутов. Повторить чтение на брайлевском дисплее, затем клавишей маршрутизации каждой контрольной ячейки переместить каретку к соответствующему символу, в том числе в начале, середине и конце строки и за пределами первоначально видимой области.</w:t>
      </w:r>
    </w:p>
    <w:p>
      <w:pPr>
        <w:pStyle w:val="Compact"/>
        <w:numPr>
          <w:ilvl w:val="0"/>
          <w:numId w:val="1015"/>
        </w:numPr>
      </w:pPr>
      <w:r>
        <w:rPr>
          <w:b/>
          <w:bCs/>
        </w:rPr>
        <w:t xml:space="preserve">Прохождение/нарушение:</w:t>
      </w:r>
      <w:r>
        <w:t xml:space="preserve"> </w:t>
      </w:r>
      <w:r>
        <w:t xml:space="preserve">проходит, если текст, формат, каретка и выделение определимы и изменяемы теми же способами, что доступны пользователю, брайлевский вывод соответствует текущему диапазону, а каждая проверенная клавиша маршрутизации устанавливает каретку в соответствующую позицию без потери контекста. Нарушение при потере позиции, скрытом изменении, неверном диапазоне или ошибочной маршрутизации.</w:t>
      </w:r>
    </w:p>
    <w:p>
      <w:pPr>
        <w:pStyle w:val="Compact"/>
        <w:numPr>
          <w:ilvl w:val="0"/>
          <w:numId w:val="1015"/>
        </w:numPr>
      </w:pPr>
      <w:r>
        <w:rPr>
          <w:b/>
          <w:bCs/>
        </w:rPr>
        <w:t xml:space="preserve">NA/не проверено:</w:t>
      </w:r>
      <w:r>
        <w:t xml:space="preserve"> </w:t>
      </w:r>
      <w:r>
        <w:t xml:space="preserve">NA для единицы без текста; не проверено для брайлевского сценария, если он применим, но устройство отсутствует.</w:t>
      </w:r>
    </w:p>
    <w:p>
      <w:pPr>
        <w:pStyle w:val="Compact"/>
        <w:numPr>
          <w:ilvl w:val="0"/>
          <w:numId w:val="1015"/>
        </w:numPr>
      </w:pPr>
      <w:r>
        <w:rPr>
          <w:b/>
          <w:bCs/>
        </w:rPr>
        <w:t xml:space="preserve">Минимальное доказательство:</w:t>
      </w:r>
      <w:r>
        <w:t xml:space="preserve"> </w:t>
      </w:r>
      <w:r>
        <w:t xml:space="preserve">исходный текст, последовательность клавиш, сообщения и результат редактирования; для брайлевского сценария таблица «область, строка, ячейка дисплея, ожидаемая и фактическая позиция каретки».</w:t>
      </w:r>
    </w:p>
    <w:p>
      <w:pPr>
        <w:pStyle w:val="Compact"/>
        <w:numPr>
          <w:ilvl w:val="0"/>
          <w:numId w:val="1015"/>
        </w:numPr>
      </w:pPr>
      <w:r>
        <w:rPr>
          <w:b/>
          <w:bCs/>
        </w:rPr>
        <w:t xml:space="preserve">Нормативная ссылка:</w:t>
      </w:r>
      <w:r>
        <w:t xml:space="preserve"> </w:t>
      </w:r>
      <w:hyperlink r:id="rId20">
        <w:r>
          <w:rPr>
            <w:rStyle w:val="Hyperlink"/>
          </w:rPr>
          <w:t xml:space="preserve">EN 301 549 V4.1.1, 11.5.2.10, 11.5.2.13-11.5.2.14, 11.5.2.17</w:t>
        </w:r>
      </w:hyperlink>
      <w:r>
        <w:t xml:space="preserve">.</w:t>
      </w:r>
    </w:p>
    <w:p>
      <w:pPr>
        <w:pStyle w:val="Compact"/>
        <w:numPr>
          <w:ilvl w:val="0"/>
          <w:numId w:val="1015"/>
        </w:numPr>
      </w:pPr>
      <w:r>
        <w:rPr>
          <w:b/>
          <w:bCs/>
        </w:rPr>
        <w:t xml:space="preserve">Граница проекта:</w:t>
      </w:r>
      <w:r>
        <w:t xml:space="preserve"> </w:t>
      </w:r>
      <w:r>
        <w:t xml:space="preserve">проверка маршрутизации во всех редактируемых областях является сценарием проекта для воспроизводимой проверки текстовых диапазонов. Отсутствие избыточного речевого шума оценивается как практическое препятствие, а не отдельное числовое требование.</w:t>
      </w:r>
    </w:p>
    <w:bookmarkEnd w:id="43"/>
    <w:bookmarkStart w:id="44" w:name="г-15.-сценарии-текстового-редактора"/>
    <w:p>
      <w:pPr>
        <w:pStyle w:val="Heading3"/>
      </w:pPr>
      <w:bookmarkStart w:id="2046" w:name="_TocAnchor140_2045"/>
      <w:r>
        <w:t xml:space="preserve">Г-15. Сценарии текстового редактора</w:t>
      </w:r>
      <w:bookmarkEnd w:id="2046"/>
    </w:p>
    <w:p>
      <w:pPr>
        <w:pStyle w:val="Compact"/>
        <w:numPr>
          <w:ilvl w:val="0"/>
          <w:numId w:val="1016"/>
        </w:numPr>
      </w:pPr>
      <w:r>
        <w:rPr>
          <w:b/>
          <w:bCs/>
        </w:rPr>
        <w:t xml:space="preserve">Применимость:</w:t>
      </w:r>
      <w:r>
        <w:t xml:space="preserve"> </w:t>
      </w:r>
      <w:r>
        <w:t xml:space="preserve">приложение или режим редактирования текстовых документов.</w:t>
      </w:r>
    </w:p>
    <w:p>
      <w:pPr>
        <w:pStyle w:val="Compact"/>
        <w:numPr>
          <w:ilvl w:val="0"/>
          <w:numId w:val="1016"/>
        </w:numPr>
      </w:pPr>
      <w:r>
        <w:rPr>
          <w:b/>
          <w:bCs/>
        </w:rPr>
        <w:t xml:space="preserve">Предусловия:</w:t>
      </w:r>
      <w:r>
        <w:t xml:space="preserve"> </w:t>
      </w:r>
      <w:r>
        <w:t xml:space="preserve">документ с заголовками, списками, ссылками, таблицей с заголовками, объединением и вложенностью, изображением, закладкой, сноской, полем, комментарием, исправлением, конфликтом изменений, орфографической или грамматической проблемой и защищенной областью.</w:t>
      </w:r>
    </w:p>
    <w:p>
      <w:pPr>
        <w:pStyle w:val="Compact"/>
        <w:numPr>
          <w:ilvl w:val="0"/>
          <w:numId w:val="1016"/>
        </w:numPr>
      </w:pPr>
      <w:r>
        <w:rPr>
          <w:b/>
          <w:bCs/>
        </w:rPr>
        <w:t xml:space="preserve">Шаги и параметры:</w:t>
      </w:r>
      <w:r>
        <w:t xml:space="preserve"> </w:t>
      </w:r>
      <w:r>
        <w:t xml:space="preserve">пройти заголовки, списки, ссылки, таблицы, изображения, закладки, сноски и поля; для таблицы определить границы, координату, заголовки строки и столбца, объединение и вложенность; для изображения или объекта определить тип, альтернативу, декоративный статус и положение. Найти и заменить текст, перейти к странице и каждому результату. Для орфографической или грамматической проблемы получить тип, контекст и варианты исправления без опоры только на подчеркивание. Открыть комментарий и исправление, создать конфликт изменений, определить стороны и варианты, выбрать разрешение и проверить итог. Пройти поля по порядку, войти в защищенную область и область только для чтения.</w:t>
      </w:r>
    </w:p>
    <w:p>
      <w:pPr>
        <w:pStyle w:val="Compact"/>
        <w:numPr>
          <w:ilvl w:val="0"/>
          <w:numId w:val="1016"/>
        </w:numPr>
      </w:pPr>
      <w:r>
        <w:rPr>
          <w:b/>
          <w:bCs/>
        </w:rPr>
        <w:t xml:space="preserve">Прохождение/нарушение:</w:t>
      </w:r>
      <w:r>
        <w:t xml:space="preserve"> </w:t>
      </w:r>
      <w:r>
        <w:t xml:space="preserve">проходит, если перечисленная структура и свойства доступны, поиск и переход сохраняют предсказуемый контекст, проблема и варианты исправления доступны не только визуально, комментарии, исправления и конфликт можно понять и разрешить без указателя, а порядок полей и ограничения защищенного режима названы. Нарушение при плоском чтении, недостижимом объекте, скрытом результате, недоступном разрешении конфликта или неясной защите.</w:t>
      </w:r>
    </w:p>
    <w:p>
      <w:pPr>
        <w:pStyle w:val="Compact"/>
        <w:numPr>
          <w:ilvl w:val="0"/>
          <w:numId w:val="1016"/>
        </w:numPr>
      </w:pPr>
      <w:r>
        <w:rPr>
          <w:b/>
          <w:bCs/>
        </w:rPr>
        <w:t xml:space="preserve">NA/не проверено:</w:t>
      </w:r>
      <w:r>
        <w:t xml:space="preserve"> </w:t>
      </w:r>
      <w:r>
        <w:t xml:space="preserve">NA для приложения без текстового редактора; отдельная функция NA только при подтвержденном отсутствии.</w:t>
      </w:r>
    </w:p>
    <w:p>
      <w:pPr>
        <w:pStyle w:val="Compact"/>
        <w:numPr>
          <w:ilvl w:val="0"/>
          <w:numId w:val="1016"/>
        </w:numPr>
      </w:pPr>
      <w:r>
        <w:rPr>
          <w:b/>
          <w:bCs/>
        </w:rPr>
        <w:t xml:space="preserve">Минимальное доказательство:</w:t>
      </w:r>
      <w:r>
        <w:t xml:space="preserve"> </w:t>
      </w:r>
      <w:r>
        <w:t xml:space="preserve">тестовый документ, журнал переходов и действий, свойства таблицы и объекта, запись поиска и исправления, конфликт до и после разрешения, порядок полей и фрагменты дерева.</w:t>
      </w:r>
    </w:p>
    <w:p>
      <w:pPr>
        <w:pStyle w:val="Compact"/>
        <w:numPr>
          <w:ilvl w:val="0"/>
          <w:numId w:val="1016"/>
        </w:numPr>
      </w:pPr>
      <w:r>
        <w:rPr>
          <w:b/>
          <w:bCs/>
        </w:rPr>
        <w:t xml:space="preserve">Нормативная ссылка:</w:t>
      </w:r>
      <w:r>
        <w:t xml:space="preserve"> </w:t>
      </w:r>
      <w:hyperlink r:id="rId20">
        <w:r>
          <w:rPr>
            <w:rStyle w:val="Hyperlink"/>
          </w:rPr>
          <w:t xml:space="preserve">EN 301 549 V4.1.1, 11.2.1.1, 11.5.2</w:t>
        </w:r>
      </w:hyperlink>
      <w:r>
        <w:t xml:space="preserve">.</w:t>
      </w:r>
    </w:p>
    <w:p>
      <w:pPr>
        <w:pStyle w:val="Compact"/>
        <w:numPr>
          <w:ilvl w:val="0"/>
          <w:numId w:val="1016"/>
        </w:numPr>
      </w:pPr>
      <w:r>
        <w:rPr>
          <w:b/>
          <w:bCs/>
        </w:rPr>
        <w:t xml:space="preserve">Граница проекта:</w:t>
      </w:r>
      <w:r>
        <w:t xml:space="preserve"> </w:t>
      </w:r>
      <w:r>
        <w:t xml:space="preserve">перечень объектов и операций является сценарной операционализацией общих требований. Карточка проверяет интерфейс редактора; доступность сохраненного документа оценивается отдельно по разделу Б.</w:t>
      </w:r>
    </w:p>
    <w:bookmarkEnd w:id="44"/>
    <w:bookmarkStart w:id="45" w:name="г-16.-сценарии-табличного-редактора"/>
    <w:p>
      <w:pPr>
        <w:pStyle w:val="Heading3"/>
      </w:pPr>
      <w:bookmarkStart w:id="2048" w:name="_TocAnchor149_2047"/>
      <w:r>
        <w:t xml:space="preserve">Г-16. Сценарии табличного редактора</w:t>
      </w:r>
      <w:bookmarkEnd w:id="2048"/>
    </w:p>
    <w:p>
      <w:pPr>
        <w:pStyle w:val="Compact"/>
        <w:numPr>
          <w:ilvl w:val="0"/>
          <w:numId w:val="1017"/>
        </w:numPr>
      </w:pPr>
      <w:r>
        <w:rPr>
          <w:b/>
          <w:bCs/>
        </w:rPr>
        <w:t xml:space="preserve">Применимость:</w:t>
      </w:r>
      <w:r>
        <w:t xml:space="preserve"> </w:t>
      </w:r>
      <w:r>
        <w:t xml:space="preserve">приложение или режим электронных таблиц.</w:t>
      </w:r>
    </w:p>
    <w:p>
      <w:pPr>
        <w:pStyle w:val="Compact"/>
        <w:numPr>
          <w:ilvl w:val="0"/>
          <w:numId w:val="1017"/>
        </w:numPr>
      </w:pPr>
      <w:r>
        <w:rPr>
          <w:b/>
          <w:bCs/>
        </w:rPr>
        <w:t xml:space="preserve">Предусловия:</w:t>
      </w:r>
      <w:r>
        <w:t xml:space="preserve"> </w:t>
      </w:r>
      <w:r>
        <w:t xml:space="preserve">книга с несколькими листами, пользовательскими заголовками строк и столбцов, формулами, ошибкой, комментарием, блокировкой, диапазоном, фильтром, диаграммой с несколькими рядами и категориями, исходными данными, сводной таблицей с иерархией, итогами, группами, фильтрами и срезами, а также условным форматированием.</w:t>
      </w:r>
    </w:p>
    <w:p>
      <w:pPr>
        <w:pStyle w:val="Compact"/>
        <w:numPr>
          <w:ilvl w:val="0"/>
          <w:numId w:val="1017"/>
        </w:numPr>
      </w:pPr>
      <w:r>
        <w:rPr>
          <w:b/>
          <w:bCs/>
        </w:rPr>
        <w:t xml:space="preserve">Шаги и параметры:</w:t>
      </w:r>
      <w:r>
        <w:t xml:space="preserve"> </w:t>
      </w:r>
      <w:r>
        <w:t xml:space="preserve">пройти сетку, строки, столбцы и листы; определить адрес, отображаемое значение, формулу, тип, формат, ошибку, комментарий, блокировку и связанные пользовательские заголовки активной ячейки. Выделить диапазон, получить его начало, конец и размер, расширить и сократить без точного указателя и проверить сообщение об изменении. Изменить формулу через строку формул, мастер функций, автодополнение и ссылку на диапазон; применить фильтр и получить его наличие, состояние и результат без опоры только на цвет. Для диаграммы получить имя и описание, пройти ряды и категории, сопоставить точки с исходными данными. Для сводной таблицы пройти поля и иерархии, раскрыть группу, определить итоги, изменить фильтр и срез без указателя.</w:t>
      </w:r>
    </w:p>
    <w:p>
      <w:pPr>
        <w:pStyle w:val="Compact"/>
        <w:numPr>
          <w:ilvl w:val="0"/>
          <w:numId w:val="1017"/>
        </w:numPr>
      </w:pPr>
      <w:r>
        <w:rPr>
          <w:b/>
          <w:bCs/>
        </w:rPr>
        <w:t xml:space="preserve">Прохождение/нарушение:</w:t>
      </w:r>
      <w:r>
        <w:t xml:space="preserve"> </w:t>
      </w:r>
      <w:r>
        <w:t xml:space="preserve">проходит, если координата, пользовательские заголовки и все перечисленные свойства ячейки своевременно доступны; диапазон объявляет границы, размер и изменения; формульные средства доступны; фильтр сообщает состояние и результат не только цветом; диаграмма раскрывает ряды, категории и связь с исходными данными; поля, иерархии, итоги, группы, фильтры и срезы сводной таблицы определимы и управляемы без указателя. Нарушение при потере любого существенного свойства, структуры или команды.</w:t>
      </w:r>
    </w:p>
    <w:p>
      <w:pPr>
        <w:pStyle w:val="Compact"/>
        <w:numPr>
          <w:ilvl w:val="0"/>
          <w:numId w:val="1017"/>
        </w:numPr>
      </w:pPr>
      <w:r>
        <w:rPr>
          <w:b/>
          <w:bCs/>
        </w:rPr>
        <w:t xml:space="preserve">NA/не проверено:</w:t>
      </w:r>
      <w:r>
        <w:t xml:space="preserve"> </w:t>
      </w:r>
      <w:r>
        <w:t xml:space="preserve">NA для приложения без табличного редактора; функция NA при подтвержденном отсутствии.</w:t>
      </w:r>
    </w:p>
    <w:p>
      <w:pPr>
        <w:pStyle w:val="Compact"/>
        <w:numPr>
          <w:ilvl w:val="0"/>
          <w:numId w:val="1017"/>
        </w:numPr>
      </w:pPr>
      <w:r>
        <w:rPr>
          <w:b/>
          <w:bCs/>
        </w:rPr>
        <w:t xml:space="preserve">Минимальное доказательство:</w:t>
      </w:r>
      <w:r>
        <w:t xml:space="preserve"> </w:t>
      </w:r>
      <w:r>
        <w:t xml:space="preserve">тестовая книга, последовательность координат и сообщений, свойства диапазона, формулы и фильтра, дерево диаграммы и сводной таблицы, сопоставление ряда и категории с исходными данными.</w:t>
      </w:r>
    </w:p>
    <w:p>
      <w:pPr>
        <w:pStyle w:val="Compact"/>
        <w:numPr>
          <w:ilvl w:val="0"/>
          <w:numId w:val="1017"/>
        </w:numPr>
      </w:pPr>
      <w:r>
        <w:rPr>
          <w:b/>
          <w:bCs/>
        </w:rPr>
        <w:t xml:space="preserve">Нормативная ссылка:</w:t>
      </w:r>
      <w:r>
        <w:t xml:space="preserve"> </w:t>
      </w:r>
      <w:hyperlink r:id="rId20">
        <w:r>
          <w:rPr>
            <w:rStyle w:val="Hyperlink"/>
          </w:rPr>
          <w:t xml:space="preserve">EN 301 549 V4.1.1, 11.2.1.1, 11.5.2.6-11.5.2.17</w:t>
        </w:r>
      </w:hyperlink>
      <w:r>
        <w:t xml:space="preserve">.</w:t>
      </w:r>
    </w:p>
    <w:p>
      <w:pPr>
        <w:pStyle w:val="Compact"/>
        <w:numPr>
          <w:ilvl w:val="0"/>
          <w:numId w:val="1017"/>
        </w:numPr>
      </w:pPr>
      <w:r>
        <w:rPr>
          <w:b/>
          <w:bCs/>
        </w:rPr>
        <w:t xml:space="preserve">Граница проекта:</w:t>
      </w:r>
      <w:r>
        <w:t xml:space="preserve"> </w:t>
      </w:r>
      <w:r>
        <w:t xml:space="preserve">полный набор свойств активной ячейки и специализированных объектов является воспроизводимым сценарием проекта.</w:t>
      </w:r>
    </w:p>
    <w:bookmarkEnd w:id="45"/>
    <w:bookmarkStart w:id="46" w:name="г-17.-сценарии-редактора-презентаций"/>
    <w:p>
      <w:pPr>
        <w:pStyle w:val="Heading3"/>
      </w:pPr>
      <w:bookmarkStart w:id="2050" w:name="_TocAnchor158_2049"/>
      <w:r>
        <w:t xml:space="preserve">Г-17. Сценарии редактора презентаций</w:t>
      </w:r>
      <w:bookmarkEnd w:id="2050"/>
    </w:p>
    <w:p>
      <w:pPr>
        <w:pStyle w:val="Compact"/>
        <w:numPr>
          <w:ilvl w:val="0"/>
          <w:numId w:val="1018"/>
        </w:numPr>
      </w:pPr>
      <w:r>
        <w:rPr>
          <w:b/>
          <w:bCs/>
        </w:rPr>
        <w:t xml:space="preserve">Применимость:</w:t>
      </w:r>
      <w:r>
        <w:t xml:space="preserve"> </w:t>
      </w:r>
      <w:r>
        <w:t xml:space="preserve">приложение или режим создания и показа презентаций.</w:t>
      </w:r>
    </w:p>
    <w:p>
      <w:pPr>
        <w:pStyle w:val="Compact"/>
        <w:numPr>
          <w:ilvl w:val="0"/>
          <w:numId w:val="1018"/>
        </w:numPr>
      </w:pPr>
      <w:r>
        <w:rPr>
          <w:b/>
          <w:bCs/>
        </w:rPr>
        <w:t xml:space="preserve">Предусловия:</w:t>
      </w:r>
      <w:r>
        <w:t xml:space="preserve"> </w:t>
      </w:r>
      <w:r>
        <w:t xml:space="preserve">презентация со слайдами, текстом, изображением, таблицей с заголовками, диаграммой с рядами, категориями и исходными данными, заметками, анимацией и мультимедиа.</w:t>
      </w:r>
    </w:p>
    <w:p>
      <w:pPr>
        <w:pStyle w:val="Compact"/>
        <w:numPr>
          <w:ilvl w:val="0"/>
          <w:numId w:val="1018"/>
        </w:numPr>
      </w:pPr>
      <w:r>
        <w:rPr>
          <w:b/>
          <w:bCs/>
        </w:rPr>
        <w:t xml:space="preserve">Шаги и параметры:</w:t>
      </w:r>
      <w:r>
        <w:t xml:space="preserve"> </w:t>
      </w:r>
      <w:r>
        <w:t xml:space="preserve">пройти список слайдов, текущий слайд и иерархию объектов; определить тип, имя, текст, альтернативу, геометрию и состояние выбранного объекта. Изменить порядок чтения; переместить, изменить размер, повернуть, выровнять и сгруппировать объекты числовым или клавиатурным способом. Структурно прочитать таблицу и диаграмму, пройти ряды и категории и открыть исходные данные без визуального анализа. Открыть заметки как отдельную область, прочитать и изменить их. Запустить показ, прочитать содержимое, управлять им и завершить только клавиатурой и с программой экранного доступа.</w:t>
      </w:r>
    </w:p>
    <w:p>
      <w:pPr>
        <w:pStyle w:val="Compact"/>
        <w:numPr>
          <w:ilvl w:val="0"/>
          <w:numId w:val="1018"/>
        </w:numPr>
      </w:pPr>
      <w:r>
        <w:rPr>
          <w:b/>
          <w:bCs/>
        </w:rPr>
        <w:t xml:space="preserve">Прохождение/нарушение:</w:t>
      </w:r>
      <w:r>
        <w:t xml:space="preserve"> </w:t>
      </w:r>
      <w:r>
        <w:t xml:space="preserve">проходит, если структура и все перечисленные свойства доступны, порядок изменяем, точные операции имеют числовой или клавиатурный способ, таблица и диаграмма имеют структурное чтение и доступ к данным, заметки редактируются отдельно, а показ полностью управляем. Нарушение при визуально доступном, но программно скрытом объекте, свойстве, операции или данных.</w:t>
      </w:r>
    </w:p>
    <w:p>
      <w:pPr>
        <w:pStyle w:val="Compact"/>
        <w:numPr>
          <w:ilvl w:val="0"/>
          <w:numId w:val="1018"/>
        </w:numPr>
      </w:pPr>
      <w:r>
        <w:rPr>
          <w:b/>
          <w:bCs/>
        </w:rPr>
        <w:t xml:space="preserve">NA/не проверено:</w:t>
      </w:r>
      <w:r>
        <w:t xml:space="preserve"> </w:t>
      </w:r>
      <w:r>
        <w:t xml:space="preserve">NA для приложения без презентаций; отдельная функция NA при подтвержденном отсутствии.</w:t>
      </w:r>
    </w:p>
    <w:p>
      <w:pPr>
        <w:pStyle w:val="Compact"/>
        <w:numPr>
          <w:ilvl w:val="0"/>
          <w:numId w:val="1018"/>
        </w:numPr>
      </w:pPr>
      <w:r>
        <w:rPr>
          <w:b/>
          <w:bCs/>
        </w:rPr>
        <w:t xml:space="preserve">Минимальное доказательство:</w:t>
      </w:r>
      <w:r>
        <w:t xml:space="preserve"> </w:t>
      </w:r>
      <w:r>
        <w:t xml:space="preserve">тестовая презентация, запись режима редактирования и показа, дерево выбранного объекта, таблицы и диаграммы, числовые значения геометрии и доступ к исходным данным.</w:t>
      </w:r>
    </w:p>
    <w:p>
      <w:pPr>
        <w:pStyle w:val="Compact"/>
        <w:numPr>
          <w:ilvl w:val="0"/>
          <w:numId w:val="1018"/>
        </w:numPr>
      </w:pPr>
      <w:r>
        <w:rPr>
          <w:b/>
          <w:bCs/>
        </w:rPr>
        <w:t xml:space="preserve">Нормативная ссылка:</w:t>
      </w:r>
      <w:r>
        <w:t xml:space="preserve"> </w:t>
      </w:r>
      <w:hyperlink r:id="rId20">
        <w:r>
          <w:rPr>
            <w:rStyle w:val="Hyperlink"/>
          </w:rPr>
          <w:t xml:space="preserve">EN 301 549 V4.1.1, 11.2.1.1, 11.5.2</w:t>
        </w:r>
      </w:hyperlink>
      <w:r>
        <w:t xml:space="preserve">.</w:t>
      </w:r>
    </w:p>
    <w:p>
      <w:pPr>
        <w:pStyle w:val="Compact"/>
        <w:numPr>
          <w:ilvl w:val="0"/>
          <w:numId w:val="1018"/>
        </w:numPr>
      </w:pPr>
      <w:r>
        <w:rPr>
          <w:b/>
          <w:bCs/>
        </w:rPr>
        <w:t xml:space="preserve">Граница проекта:</w:t>
      </w:r>
      <w:r>
        <w:t xml:space="preserve"> </w:t>
      </w:r>
      <w:r>
        <w:t xml:space="preserve">перечень объектов и операций является сценарной операционализацией общих требований. Доступность созданной презентации проверяется отдельно по разделу Б.</w:t>
      </w:r>
    </w:p>
    <w:bookmarkEnd w:id="46"/>
    <w:bookmarkStart w:id="47" w:name="Xad050a5613733e13ccd6c14c5650601e69e7ce9"/>
    <w:p>
      <w:pPr>
        <w:pStyle w:val="Heading3"/>
      </w:pPr>
      <w:bookmarkStart w:id="2052" w:name="_TocAnchor167_2051"/>
      <w:r>
        <w:t xml:space="preserve">Г-18. Документация, справка и совместимость</w:t>
      </w:r>
      <w:bookmarkEnd w:id="2052"/>
    </w:p>
    <w:p>
      <w:pPr>
        <w:pStyle w:val="Compact"/>
        <w:numPr>
          <w:ilvl w:val="0"/>
          <w:numId w:val="1019"/>
        </w:numPr>
      </w:pPr>
      <w:r>
        <w:rPr>
          <w:b/>
          <w:bCs/>
        </w:rPr>
        <w:t xml:space="preserve">Применимость:</w:t>
      </w:r>
      <w:r>
        <w:t xml:space="preserve"> </w:t>
      </w:r>
      <w:r>
        <w:t xml:space="preserve">цифровая информация о продукте или услуге, если она предоставляется; документация на продукте или официальной странице, если она существует.</w:t>
      </w:r>
    </w:p>
    <w:p>
      <w:pPr>
        <w:pStyle w:val="Compact"/>
        <w:numPr>
          <w:ilvl w:val="0"/>
          <w:numId w:val="1019"/>
        </w:numPr>
      </w:pPr>
      <w:r>
        <w:rPr>
          <w:b/>
          <w:bCs/>
        </w:rPr>
        <w:t xml:space="preserve">Предусловия:</w:t>
      </w:r>
      <w:r>
        <w:t xml:space="preserve"> </w:t>
      </w:r>
      <w:r>
        <w:t xml:space="preserve">доступ к поставляемой и сетевой документации, перечень заявленных функций и конфигураций.</w:t>
      </w:r>
    </w:p>
    <w:p>
      <w:pPr>
        <w:pStyle w:val="Compact"/>
        <w:numPr>
          <w:ilvl w:val="0"/>
          <w:numId w:val="1019"/>
        </w:numPr>
      </w:pPr>
      <w:r>
        <w:rPr>
          <w:b/>
          <w:bCs/>
        </w:rPr>
        <w:t xml:space="preserve">Шаги и параметры:</w:t>
      </w:r>
      <w:r>
        <w:t xml:space="preserve"> </w:t>
      </w:r>
      <w:r>
        <w:t xml:space="preserve">открыть документацию только клавиатурой и с программой экранного доступа; найти функции доступности, способы их включения, поддерживаемые конфигурации, ограничения и способ получить поддержку; выполнить одну инструкцию.</w:t>
      </w:r>
    </w:p>
    <w:p>
      <w:pPr>
        <w:pStyle w:val="Compact"/>
        <w:numPr>
          <w:ilvl w:val="0"/>
          <w:numId w:val="1019"/>
        </w:numPr>
      </w:pPr>
      <w:r>
        <w:rPr>
          <w:b/>
          <w:bCs/>
        </w:rPr>
        <w:t xml:space="preserve">Прохождение/нарушение:</w:t>
      </w:r>
      <w:r>
        <w:t xml:space="preserve"> </w:t>
      </w:r>
      <w:r>
        <w:t xml:space="preserve">проходит, если предоставленная информация доступна в своем формате, а существующая документация описывает функции доступности, их использование и способ получить поддержку; нарушение при недоступном формате, отсутствии требуемых сведений или неработающей инструкции.</w:t>
      </w:r>
    </w:p>
    <w:p>
      <w:pPr>
        <w:pStyle w:val="Compact"/>
        <w:numPr>
          <w:ilvl w:val="0"/>
          <w:numId w:val="1019"/>
        </w:numPr>
      </w:pPr>
      <w:r>
        <w:rPr>
          <w:b/>
          <w:bCs/>
        </w:rPr>
        <w:t xml:space="preserve">NA/не проверено:</w:t>
      </w:r>
      <w:r>
        <w:t xml:space="preserve"> </w:t>
      </w:r>
      <w:r>
        <w:t xml:space="preserve">NA для вида информации или документации, который не предоставляется; не проверено, если применимость или официальный источник установить не удалось.</w:t>
      </w:r>
    </w:p>
    <w:p>
      <w:pPr>
        <w:pStyle w:val="Compact"/>
        <w:numPr>
          <w:ilvl w:val="0"/>
          <w:numId w:val="1019"/>
        </w:numPr>
      </w:pPr>
      <w:r>
        <w:rPr>
          <w:b/>
          <w:bCs/>
        </w:rPr>
        <w:t xml:space="preserve">Минимальное доказательство:</w:t>
      </w:r>
      <w:r>
        <w:t xml:space="preserve"> </w:t>
      </w:r>
      <w:r>
        <w:t xml:space="preserve">адрес или файл, найденные разделы, шаг инструкции и фактический результат.</w:t>
      </w:r>
    </w:p>
    <w:p>
      <w:pPr>
        <w:pStyle w:val="Compact"/>
        <w:numPr>
          <w:ilvl w:val="0"/>
          <w:numId w:val="1019"/>
        </w:numPr>
      </w:pPr>
      <w:r>
        <w:rPr>
          <w:b/>
          <w:bCs/>
        </w:rPr>
        <w:t xml:space="preserve">Нормативная ссылка:</w:t>
      </w:r>
      <w:r>
        <w:t xml:space="preserve"> </w:t>
      </w:r>
      <w:hyperlink r:id="rId20">
        <w:r>
          <w:rPr>
            <w:rStyle w:val="Hyperlink"/>
          </w:rPr>
          <w:t xml:space="preserve">EN 301 549 V4.1.1, 12.1-12.3</w:t>
        </w:r>
      </w:hyperlink>
      <w:r>
        <w:t xml:space="preserve">.</w:t>
      </w:r>
    </w:p>
    <w:p>
      <w:pPr>
        <w:pStyle w:val="Compact"/>
        <w:numPr>
          <w:ilvl w:val="0"/>
          <w:numId w:val="1019"/>
        </w:numPr>
      </w:pPr>
      <w:r>
        <w:rPr>
          <w:b/>
          <w:bCs/>
        </w:rPr>
        <w:t xml:space="preserve">Граница проекта:</w:t>
      </w:r>
      <w:r>
        <w:t xml:space="preserve"> </w:t>
      </w:r>
      <w:r>
        <w:t xml:space="preserve">наличие документации и публикация полной матрицы совместимости являются</w:t>
      </w:r>
      <w:r>
        <w:t xml:space="preserve"> </w:t>
      </w:r>
      <w:r>
        <w:rPr>
          <w:b/>
          <w:bCs/>
        </w:rPr>
        <w:t xml:space="preserve">Предложением проекта</w:t>
      </w:r>
      <w:r>
        <w:t xml:space="preserve">; EN задает требования к предоставленной информации и существующей документации.</w:t>
      </w:r>
    </w:p>
    <w:bookmarkEnd w:id="47"/>
    <w:bookmarkStart w:id="48" w:name="г-19.-ошибки-отмена-и-подтверждение"/>
    <w:p>
      <w:pPr>
        <w:pStyle w:val="Heading3"/>
      </w:pPr>
      <w:bookmarkStart w:id="2054" w:name="_TocAnchor176_2053"/>
      <w:r>
        <w:t xml:space="preserve">Г-19. Ошибки, отмена и подтверждение</w:t>
      </w:r>
      <w:bookmarkEnd w:id="2054"/>
    </w:p>
    <w:p>
      <w:pPr>
        <w:pStyle w:val="Compact"/>
        <w:numPr>
          <w:ilvl w:val="0"/>
          <w:numId w:val="1020"/>
        </w:numPr>
      </w:pPr>
      <w:r>
        <w:rPr>
          <w:b/>
          <w:bCs/>
        </w:rPr>
        <w:t xml:space="preserve">Применимость:</w:t>
      </w:r>
      <w:r>
        <w:t xml:space="preserve"> </w:t>
      </w:r>
      <w:r>
        <w:t xml:space="preserve">ввод, удаление, перезапись, закрытие без сохранения и иные действия с риском потери.</w:t>
      </w:r>
    </w:p>
    <w:p>
      <w:pPr>
        <w:pStyle w:val="Compact"/>
        <w:numPr>
          <w:ilvl w:val="0"/>
          <w:numId w:val="1020"/>
        </w:numPr>
      </w:pPr>
      <w:r>
        <w:rPr>
          <w:b/>
          <w:bCs/>
        </w:rPr>
        <w:t xml:space="preserve">Предусловия:</w:t>
      </w:r>
      <w:r>
        <w:t xml:space="preserve"> </w:t>
      </w:r>
      <w:r>
        <w:t xml:space="preserve">безопасные тестовые данные, известные допустимые и ошибочные значения, процесс с повторным запросом ранее введенной или предоставленной пользователю информации.</w:t>
      </w:r>
    </w:p>
    <w:p>
      <w:pPr>
        <w:pStyle w:val="Compact"/>
        <w:numPr>
          <w:ilvl w:val="0"/>
          <w:numId w:val="1020"/>
        </w:numPr>
      </w:pPr>
      <w:r>
        <w:rPr>
          <w:b/>
          <w:bCs/>
        </w:rPr>
        <w:t xml:space="preserve">Шаги и параметры:</w:t>
      </w:r>
      <w:r>
        <w:t xml:space="preserve"> </w:t>
      </w:r>
      <w:r>
        <w:t xml:space="preserve">вызвать ошибку; определить объект, причину и исправление. В том же процессе дойти до повторного запроса ранее введенной или предоставленной информации и проверить автоматическое заполнение либо доступный выбор; отдельно проверить исключения для существенного повторного ввода, безопасности и утраты актуальности. По правилу проекта исправить ошибку без повторного ввода остальных неизменных полей. Выполнить отмену; вызвать опасное действие и проверить подтверждение.</w:t>
      </w:r>
    </w:p>
    <w:p>
      <w:pPr>
        <w:pStyle w:val="Compact"/>
        <w:numPr>
          <w:ilvl w:val="0"/>
          <w:numId w:val="1020"/>
        </w:numPr>
      </w:pPr>
      <w:r>
        <w:rPr>
          <w:b/>
          <w:bCs/>
        </w:rPr>
        <w:t xml:space="preserve">Прохождение/нарушение:</w:t>
      </w:r>
      <w:r>
        <w:t xml:space="preserve"> </w:t>
      </w:r>
      <w:r>
        <w:t xml:space="preserve">нормативная часть проходит, если ошибка названа и исправима, а повторно запрашиваемая в том же процессе информация заполнена автоматически либо доступна для выбора, кроме трех исключений EN 11.3.3.7.</w:t>
      </w:r>
      <w:r>
        <w:t xml:space="preserve"> </w:t>
      </w:r>
      <w:r>
        <w:rPr>
          <w:b/>
          <w:bCs/>
        </w:rPr>
        <w:t xml:space="preserve">Предложение проекта:</w:t>
      </w:r>
      <w:r>
        <w:t xml:space="preserve"> </w:t>
      </w:r>
      <w:r>
        <w:t xml:space="preserve">остальные неизменные поля сохраняются, а рискованное действие обратимо или подтверждается до результата. Нарушение при неясной ошибке, необоснованном повторном вводе или необъявленной потере.</w:t>
      </w:r>
    </w:p>
    <w:p>
      <w:pPr>
        <w:pStyle w:val="Compact"/>
        <w:numPr>
          <w:ilvl w:val="0"/>
          <w:numId w:val="1020"/>
        </w:numPr>
      </w:pPr>
      <w:r>
        <w:rPr>
          <w:b/>
          <w:bCs/>
        </w:rPr>
        <w:t xml:space="preserve">NA/не проверено:</w:t>
      </w:r>
      <w:r>
        <w:t xml:space="preserve"> </w:t>
      </w:r>
      <w:r>
        <w:t xml:space="preserve">NA для единицы без ввода и риска; не проверено, если действие нельзя безопасно выполнить.</w:t>
      </w:r>
    </w:p>
    <w:p>
      <w:pPr>
        <w:pStyle w:val="Compact"/>
        <w:numPr>
          <w:ilvl w:val="0"/>
          <w:numId w:val="1020"/>
        </w:numPr>
      </w:pPr>
      <w:r>
        <w:rPr>
          <w:b/>
          <w:bCs/>
        </w:rPr>
        <w:t xml:space="preserve">Минимальное доказательство:</w:t>
      </w:r>
      <w:r>
        <w:t xml:space="preserve"> </w:t>
      </w:r>
      <w:r>
        <w:t xml:space="preserve">данные при первом и повторном запросе, способ автозаполнения или выбора либо обоснование исключения, сообщение, связанный объект, отмена или подтверждение и итог.</w:t>
      </w:r>
    </w:p>
    <w:p>
      <w:pPr>
        <w:pStyle w:val="Compact"/>
        <w:numPr>
          <w:ilvl w:val="0"/>
          <w:numId w:val="1020"/>
        </w:numPr>
      </w:pPr>
      <w:r>
        <w:rPr>
          <w:b/>
          <w:bCs/>
        </w:rPr>
        <w:t xml:space="preserve">Нормативная ссылка:</w:t>
      </w:r>
      <w:r>
        <w:t xml:space="preserve"> </w:t>
      </w:r>
      <w:hyperlink r:id="rId20">
        <w:r>
          <w:rPr>
            <w:rStyle w:val="Hyperlink"/>
          </w:rPr>
          <w:t xml:space="preserve">EN 301 549 V4.1.1, 11.3.3.1-11.3.3.4, 11.3.3.7</w:t>
        </w:r>
      </w:hyperlink>
      <w:r>
        <w:t xml:space="preserve">.</w:t>
      </w:r>
    </w:p>
    <w:p>
      <w:pPr>
        <w:pStyle w:val="Compact"/>
        <w:numPr>
          <w:ilvl w:val="0"/>
          <w:numId w:val="1020"/>
        </w:numPr>
      </w:pPr>
      <w:r>
        <w:rPr>
          <w:b/>
          <w:bCs/>
        </w:rPr>
        <w:t xml:space="preserve">Граница проекта:</w:t>
      </w:r>
      <w:r>
        <w:t xml:space="preserve"> </w:t>
      </w:r>
      <w:r>
        <w:t xml:space="preserve">сохранение остальных неизменных полей и подтверждение всех действий с риском потери данных являются</w:t>
      </w:r>
      <w:r>
        <w:t xml:space="preserve"> </w:t>
      </w:r>
      <w:r>
        <w:rPr>
          <w:b/>
          <w:bCs/>
        </w:rPr>
        <w:t xml:space="preserve">Предложением проекта</w:t>
      </w:r>
      <w:r>
        <w:t xml:space="preserve"> </w:t>
      </w:r>
      <w:r>
        <w:t xml:space="preserve">и не приписываются EN 11.3.3.7.</w:t>
      </w:r>
    </w:p>
    <w:bookmarkEnd w:id="48"/>
    <w:bookmarkStart w:id="49" w:name="г-20.-встроенная-проверка-доступности"/>
    <w:p>
      <w:pPr>
        <w:pStyle w:val="Heading3"/>
      </w:pPr>
      <w:bookmarkStart w:id="2056" w:name="_TocAnchor185_2055"/>
      <w:r>
        <w:t xml:space="preserve">Г-20. Встроенная проверка доступности</w:t>
      </w:r>
      <w:bookmarkEnd w:id="2056"/>
    </w:p>
    <w:p>
      <w:pPr>
        <w:pStyle w:val="Compact"/>
        <w:numPr>
          <w:ilvl w:val="0"/>
          <w:numId w:val="1021"/>
        </w:numPr>
      </w:pPr>
      <w:r>
        <w:rPr>
          <w:b/>
          <w:bCs/>
        </w:rPr>
        <w:t xml:space="preserve">Применимость:</w:t>
      </w:r>
      <w:r>
        <w:t xml:space="preserve"> </w:t>
      </w:r>
      <w:r>
        <w:t xml:space="preserve">средство создания контента, способное обнаружить хотя бы одно несоответствие применимому требованию раздела 9, 10 или 11 EN 301 549. Наличие отдельной панели, заявленной функции или названия «проверка доступности» для применимости не требуется.</w:t>
      </w:r>
    </w:p>
    <w:p>
      <w:pPr>
        <w:pStyle w:val="Compact"/>
        <w:numPr>
          <w:ilvl w:val="0"/>
          <w:numId w:val="1021"/>
        </w:numPr>
      </w:pPr>
      <w:r>
        <w:rPr>
          <w:b/>
          <w:bCs/>
        </w:rPr>
        <w:t xml:space="preserve">Предусловия:</w:t>
      </w:r>
      <w:r>
        <w:t xml:space="preserve"> </w:t>
      </w:r>
      <w:r>
        <w:t xml:space="preserve">для каждого поддерживаемого типа текстового документа, электронной таблицы и презентации в области подготовлен контрольный файл с известной машинно обнаруживаемой проблемой, предупреждением и пунктом, требующим ручной проверки.</w:t>
      </w:r>
    </w:p>
    <w:p>
      <w:pPr>
        <w:pStyle w:val="Compact"/>
        <w:numPr>
          <w:ilvl w:val="0"/>
          <w:numId w:val="1021"/>
        </w:numPr>
      </w:pPr>
      <w:r>
        <w:rPr>
          <w:b/>
          <w:bCs/>
        </w:rPr>
        <w:t xml:space="preserve">Шаги и параметры:</w:t>
      </w:r>
      <w:r>
        <w:t xml:space="preserve"> </w:t>
      </w:r>
      <w:r>
        <w:t xml:space="preserve">исследовать все способы обнаружения проблем: отдельную проверку, свойства объекта, сообщения при редактировании, сохранении и экспорте. Для каждого типа файла запустить доступные механизмы с клавиатуры; сопоставить найденное с контрольным набором; отличить ошибки, предупреждения и ручные пункты, если средство заявляет такие категории; перейти к объекту, получить объяснение и предложение исправления, исправить и повторить проверку.</w:t>
      </w:r>
    </w:p>
    <w:p>
      <w:pPr>
        <w:pStyle w:val="Compact"/>
        <w:numPr>
          <w:ilvl w:val="0"/>
          <w:numId w:val="1021"/>
        </w:numPr>
      </w:pPr>
      <w:r>
        <w:rPr>
          <w:b/>
          <w:bCs/>
        </w:rPr>
        <w:t xml:space="preserve">Прохождение/нарушение:</w:t>
      </w:r>
      <w:r>
        <w:t xml:space="preserve"> </w:t>
      </w:r>
      <w:r>
        <w:t xml:space="preserve">по EN 5.10.4 проходит, если для каждого несоответствия, которое средство способно обнаружить, предложен доступный способ исправления; нарушение при обнаруженной проблеме без предложения исправления либо при недоступном исправлении.</w:t>
      </w:r>
      <w:r>
        <w:t xml:space="preserve"> </w:t>
      </w:r>
      <w:r>
        <w:rPr>
          <w:b/>
          <w:bCs/>
        </w:rPr>
        <w:t xml:space="preserve">Предложение проекта:</w:t>
      </w:r>
      <w:r>
        <w:t xml:space="preserve"> </w:t>
      </w:r>
      <w:r>
        <w:t xml:space="preserve">единый механизм охватывает все три типа редактора в области, явно различает ошибки, предупреждения и ручные пункты и позволяет перейти к объекту. Если это предложение включено в профиль апробации, отсутствие любого из перечисленных условий дает нарушение профиля проекта.</w:t>
      </w:r>
    </w:p>
    <w:p>
      <w:pPr>
        <w:pStyle w:val="Compact"/>
        <w:numPr>
          <w:ilvl w:val="0"/>
          <w:numId w:val="1021"/>
        </w:numPr>
      </w:pPr>
      <w:r>
        <w:rPr>
          <w:b/>
          <w:bCs/>
        </w:rPr>
        <w:t xml:space="preserve">NA/не проверено:</w:t>
      </w:r>
      <w:r>
        <w:t xml:space="preserve"> </w:t>
      </w:r>
      <w:r>
        <w:t xml:space="preserve">NA допустим только после подтверждения на контрольных файлах и во всех перечисленных механизмах, что средство не способно обнаружить ни одно применимое несоответствие. Отсутствие отдельной или заявленной функции проверки недостаточно для NA. Не проверено применяется без контрольного файла хотя бы одного типа в области или при недоступном состоянии.</w:t>
      </w:r>
    </w:p>
    <w:p>
      <w:pPr>
        <w:pStyle w:val="Compact"/>
        <w:numPr>
          <w:ilvl w:val="0"/>
          <w:numId w:val="1021"/>
        </w:numPr>
      </w:pPr>
      <w:r>
        <w:rPr>
          <w:b/>
          <w:bCs/>
        </w:rPr>
        <w:t xml:space="preserve">Минимальное доказательство:</w:t>
      </w:r>
      <w:r>
        <w:t xml:space="preserve"> </w:t>
      </w:r>
      <w:r>
        <w:t xml:space="preserve">контрольные файлы по типам, перечень исследованных механизмов, список ожидаемых и найденных проблем, запись предложения исправления, исправления и повторного результата.</w:t>
      </w:r>
    </w:p>
    <w:p>
      <w:pPr>
        <w:pStyle w:val="Compact"/>
        <w:numPr>
          <w:ilvl w:val="0"/>
          <w:numId w:val="1021"/>
        </w:numPr>
      </w:pPr>
      <w:r>
        <w:rPr>
          <w:b/>
          <w:bCs/>
        </w:rPr>
        <w:t xml:space="preserve">Нормативная ссылка:</w:t>
      </w:r>
      <w:r>
        <w:t xml:space="preserve"> </w:t>
      </w:r>
      <w:hyperlink r:id="rId20">
        <w:r>
          <w:rPr>
            <w:rStyle w:val="Hyperlink"/>
          </w:rPr>
          <w:t xml:space="preserve">EN 301 549 V4.1.1, 5.10.4</w:t>
        </w:r>
      </w:hyperlink>
      <w:r>
        <w:t xml:space="preserve">.</w:t>
      </w:r>
    </w:p>
    <w:p>
      <w:pPr>
        <w:pStyle w:val="Compact"/>
        <w:numPr>
          <w:ilvl w:val="0"/>
          <w:numId w:val="1021"/>
        </w:numPr>
      </w:pPr>
      <w:r>
        <w:rPr>
          <w:b/>
          <w:bCs/>
        </w:rPr>
        <w:t xml:space="preserve">Граница проекта:</w:t>
      </w:r>
      <w:r>
        <w:t xml:space="preserve"> </w:t>
      </w:r>
      <w:r>
        <w:t xml:space="preserve">полнота единого механизма по типам редакторов, различение автоматических и ручных пунктов, переход к объекту, единый индикатор и ненавязчивые подсказки во время работы являются</w:t>
      </w:r>
      <w:r>
        <w:t xml:space="preserve"> </w:t>
      </w:r>
      <w:r>
        <w:rPr>
          <w:b/>
          <w:bCs/>
        </w:rPr>
        <w:t xml:space="preserve">Предложением проекта</w:t>
      </w:r>
      <w:r>
        <w:t xml:space="preserve">.</w:t>
      </w:r>
    </w:p>
    <w:bookmarkEnd w:id="49"/>
    <w:bookmarkStart w:id="50" w:name="г-21.-создание-структуры-языка-и-ссылок"/>
    <w:p>
      <w:pPr>
        <w:pStyle w:val="Heading3"/>
      </w:pPr>
      <w:bookmarkStart w:id="2058" w:name="_TocAnchor194_2057"/>
      <w:r>
        <w:t xml:space="preserve">Г-21. Создание структуры, языка и ссылок</w:t>
      </w:r>
      <w:bookmarkEnd w:id="2058"/>
    </w:p>
    <w:p>
      <w:pPr>
        <w:pStyle w:val="Compact"/>
        <w:numPr>
          <w:ilvl w:val="0"/>
          <w:numId w:val="1022"/>
        </w:numPr>
      </w:pPr>
      <w:r>
        <w:rPr>
          <w:b/>
          <w:bCs/>
        </w:rPr>
        <w:t xml:space="preserve">Применимость:</w:t>
      </w:r>
      <w:r>
        <w:t xml:space="preserve"> </w:t>
      </w:r>
      <w:r>
        <w:t xml:space="preserve">редакторы структурированного текста, таблиц и презентаций.</w:t>
      </w:r>
    </w:p>
    <w:p>
      <w:pPr>
        <w:pStyle w:val="Compact"/>
        <w:numPr>
          <w:ilvl w:val="0"/>
          <w:numId w:val="1022"/>
        </w:numPr>
      </w:pPr>
      <w:r>
        <w:rPr>
          <w:b/>
          <w:bCs/>
        </w:rPr>
        <w:t xml:space="preserve">Предусловия:</w:t>
      </w:r>
      <w:r>
        <w:t xml:space="preserve"> </w:t>
      </w:r>
      <w:r>
        <w:t xml:space="preserve">новый файл и образец с заголовками, списком, подписью, порядком, двумя языками и ссылкой.</w:t>
      </w:r>
    </w:p>
    <w:p>
      <w:pPr>
        <w:pStyle w:val="Compact"/>
        <w:numPr>
          <w:ilvl w:val="0"/>
          <w:numId w:val="1022"/>
        </w:numPr>
      </w:pPr>
      <w:r>
        <w:rPr>
          <w:b/>
          <w:bCs/>
        </w:rPr>
        <w:t xml:space="preserve">Шаги и параметры:</w:t>
      </w:r>
      <w:r>
        <w:t xml:space="preserve"> </w:t>
      </w:r>
      <w:r>
        <w:t xml:space="preserve">назначить каждое свойство только клавиатурой; прочитать его через интерфейс приложения; сохранить, открыть снова и проверить полученный файл по Б-01-Б-03, Б-06 и Б-09.</w:t>
      </w:r>
    </w:p>
    <w:p>
      <w:pPr>
        <w:pStyle w:val="Compact"/>
        <w:numPr>
          <w:ilvl w:val="0"/>
          <w:numId w:val="1022"/>
        </w:numPr>
      </w:pPr>
      <w:r>
        <w:rPr>
          <w:b/>
          <w:bCs/>
        </w:rPr>
        <w:t xml:space="preserve">Прохождение/нарушение:</w:t>
      </w:r>
      <w:r>
        <w:t xml:space="preserve"> </w:t>
      </w:r>
      <w:r>
        <w:t xml:space="preserve">проходит, если свойства доступны автору, сохраняются и присутствуют в результате; нарушение при чисто визуальном оформлении или потере семантики.</w:t>
      </w:r>
    </w:p>
    <w:p>
      <w:pPr>
        <w:pStyle w:val="Compact"/>
        <w:numPr>
          <w:ilvl w:val="0"/>
          <w:numId w:val="1022"/>
        </w:numPr>
      </w:pPr>
      <w:r>
        <w:rPr>
          <w:b/>
          <w:bCs/>
        </w:rPr>
        <w:t xml:space="preserve">NA/не проверено:</w:t>
      </w:r>
      <w:r>
        <w:t xml:space="preserve"> </w:t>
      </w:r>
      <w:r>
        <w:t xml:space="preserve">NA для формата, который по назначению не поддерживает конкретное свойство; не проверено без возможности исследовать результат.</w:t>
      </w:r>
    </w:p>
    <w:p>
      <w:pPr>
        <w:pStyle w:val="Compact"/>
        <w:numPr>
          <w:ilvl w:val="0"/>
          <w:numId w:val="1022"/>
        </w:numPr>
      </w:pPr>
      <w:r>
        <w:rPr>
          <w:b/>
          <w:bCs/>
        </w:rPr>
        <w:t xml:space="preserve">Минимальное доказательство:</w:t>
      </w:r>
      <w:r>
        <w:t xml:space="preserve"> </w:t>
      </w:r>
      <w:r>
        <w:t xml:space="preserve">исходный и сохраненный файлы, команды назначения, свойства до и после, результаты проверок Б.</w:t>
      </w:r>
    </w:p>
    <w:p>
      <w:pPr>
        <w:pStyle w:val="Compact"/>
        <w:numPr>
          <w:ilvl w:val="0"/>
          <w:numId w:val="1022"/>
        </w:numPr>
      </w:pPr>
      <w:r>
        <w:rPr>
          <w:b/>
          <w:bCs/>
        </w:rPr>
        <w:t xml:space="preserve">Нормативная ссылка:</w:t>
      </w:r>
      <w:r>
        <w:t xml:space="preserve"> </w:t>
      </w:r>
      <w:hyperlink r:id="rId20">
        <w:r>
          <w:rPr>
            <w:rStyle w:val="Hyperlink"/>
          </w:rPr>
          <w:t xml:space="preserve">EN 301 549 V4.1.1, 5.10.1-5.10.3</w:t>
        </w:r>
      </w:hyperlink>
      <w:r>
        <w:t xml:space="preserve">.</w:t>
      </w:r>
    </w:p>
    <w:p>
      <w:pPr>
        <w:pStyle w:val="Compact"/>
        <w:numPr>
          <w:ilvl w:val="0"/>
          <w:numId w:val="1022"/>
        </w:numPr>
      </w:pPr>
      <w:r>
        <w:rPr>
          <w:b/>
          <w:bCs/>
        </w:rPr>
        <w:t xml:space="preserve">Граница проекта:</w:t>
      </w:r>
      <w:r>
        <w:t xml:space="preserve"> </w:t>
      </w:r>
      <w:r>
        <w:t xml:space="preserve">раздел Б определяет доступность результата; эта карточка проверяет способность редактора его создать.</w:t>
      </w:r>
    </w:p>
    <w:bookmarkEnd w:id="50"/>
    <w:bookmarkStart w:id="51" w:name="Xbbfe2148fd3ae7bf524001ee624d2e99901e2ce"/>
    <w:p>
      <w:pPr>
        <w:pStyle w:val="Heading3"/>
      </w:pPr>
      <w:bookmarkStart w:id="2060" w:name="_TocAnchor203_2059"/>
      <w:r>
        <w:t xml:space="preserve">Г-22. Альтернативный текст и сложная графика</w:t>
      </w:r>
      <w:bookmarkEnd w:id="2060"/>
    </w:p>
    <w:p>
      <w:pPr>
        <w:pStyle w:val="Compact"/>
        <w:numPr>
          <w:ilvl w:val="0"/>
          <w:numId w:val="1023"/>
        </w:numPr>
      </w:pPr>
      <w:r>
        <w:rPr>
          <w:b/>
          <w:bCs/>
        </w:rPr>
        <w:t xml:space="preserve">Применимость:</w:t>
      </w:r>
      <w:r>
        <w:t xml:space="preserve"> </w:t>
      </w:r>
      <w:r>
        <w:t xml:space="preserve">средство создания изображений, диаграмм и иных нетекстовых объектов.</w:t>
      </w:r>
    </w:p>
    <w:p>
      <w:pPr>
        <w:pStyle w:val="Compact"/>
        <w:numPr>
          <w:ilvl w:val="0"/>
          <w:numId w:val="1023"/>
        </w:numPr>
      </w:pPr>
      <w:r>
        <w:rPr>
          <w:b/>
          <w:bCs/>
        </w:rPr>
        <w:t xml:space="preserve">Предусловия:</w:t>
      </w:r>
      <w:r>
        <w:t xml:space="preserve"> </w:t>
      </w:r>
      <w:r>
        <w:t xml:space="preserve">простое изображение, декоративный объект и сложная графика с данными.</w:t>
      </w:r>
    </w:p>
    <w:p>
      <w:pPr>
        <w:pStyle w:val="Compact"/>
        <w:numPr>
          <w:ilvl w:val="0"/>
          <w:numId w:val="1023"/>
        </w:numPr>
      </w:pPr>
      <w:r>
        <w:rPr>
          <w:b/>
          <w:bCs/>
        </w:rPr>
        <w:t xml:space="preserve">Шаги и параметры:</w:t>
      </w:r>
      <w:r>
        <w:t xml:space="preserve"> </w:t>
      </w:r>
      <w:r>
        <w:t xml:space="preserve">назначить краткую альтернативу и декоративный статус; для сложного объекта добавить расширенное описание или доступные данные; сохранить, открыть повторно и проверить по Б-05.</w:t>
      </w:r>
    </w:p>
    <w:p>
      <w:pPr>
        <w:pStyle w:val="Compact"/>
        <w:numPr>
          <w:ilvl w:val="0"/>
          <w:numId w:val="1023"/>
        </w:numPr>
      </w:pPr>
      <w:r>
        <w:rPr>
          <w:b/>
          <w:bCs/>
        </w:rPr>
        <w:t xml:space="preserve">Прохождение/нарушение:</w:t>
      </w:r>
      <w:r>
        <w:t xml:space="preserve"> </w:t>
      </w:r>
      <w:r>
        <w:t xml:space="preserve">проходит, если свойства назначаются доступно, различимы и сохраняются; нарушение при недоступном поле, смешении альтернативы и декоративности или потере данных.</w:t>
      </w:r>
    </w:p>
    <w:p>
      <w:pPr>
        <w:pStyle w:val="Compact"/>
        <w:numPr>
          <w:ilvl w:val="0"/>
          <w:numId w:val="1023"/>
        </w:numPr>
      </w:pPr>
      <w:r>
        <w:rPr>
          <w:b/>
          <w:bCs/>
        </w:rPr>
        <w:t xml:space="preserve">NA/не проверено:</w:t>
      </w:r>
      <w:r>
        <w:t xml:space="preserve"> </w:t>
      </w:r>
      <w:r>
        <w:t xml:space="preserve">NA для средства без нетекстовых объектов; не проверено без формата, сохраняющего свойства.</w:t>
      </w:r>
    </w:p>
    <w:p>
      <w:pPr>
        <w:pStyle w:val="Compact"/>
        <w:numPr>
          <w:ilvl w:val="0"/>
          <w:numId w:val="1023"/>
        </w:numPr>
      </w:pPr>
      <w:r>
        <w:rPr>
          <w:b/>
          <w:bCs/>
        </w:rPr>
        <w:t xml:space="preserve">Минимальное доказательство:</w:t>
      </w:r>
      <w:r>
        <w:t xml:space="preserve"> </w:t>
      </w:r>
      <w:r>
        <w:t xml:space="preserve">файлы до и после, свойства объектов в интерфейсе и результат Б-05.</w:t>
      </w:r>
    </w:p>
    <w:p>
      <w:pPr>
        <w:pStyle w:val="Compact"/>
        <w:numPr>
          <w:ilvl w:val="0"/>
          <w:numId w:val="1023"/>
        </w:numPr>
      </w:pPr>
      <w:r>
        <w:rPr>
          <w:b/>
          <w:bCs/>
        </w:rPr>
        <w:t xml:space="preserve">Нормативная ссылка:</w:t>
      </w:r>
      <w:r>
        <w:t xml:space="preserve"> </w:t>
      </w:r>
      <w:hyperlink r:id="rId20">
        <w:r>
          <w:rPr>
            <w:rStyle w:val="Hyperlink"/>
          </w:rPr>
          <w:t xml:space="preserve">EN 301 549 V4.1.1, 5.10.1-5.10.3</w:t>
        </w:r>
      </w:hyperlink>
      <w:r>
        <w:t xml:space="preserve">.</w:t>
      </w:r>
    </w:p>
    <w:p>
      <w:pPr>
        <w:pStyle w:val="Compact"/>
        <w:numPr>
          <w:ilvl w:val="0"/>
          <w:numId w:val="1023"/>
        </w:numPr>
      </w:pPr>
      <w:r>
        <w:rPr>
          <w:b/>
          <w:bCs/>
        </w:rPr>
        <w:t xml:space="preserve">Граница проекта:</w:t>
      </w:r>
      <w:r>
        <w:t xml:space="preserve"> </w:t>
      </w:r>
      <w:r>
        <w:t xml:space="preserve">обязательное расширенное описание или таблица данных для сложной графики является правилом проекта по характеру информации.</w:t>
      </w:r>
    </w:p>
    <w:bookmarkEnd w:id="51"/>
    <w:bookmarkStart w:id="52" w:name="г-23.-создание-семантических-таблиц"/>
    <w:p>
      <w:pPr>
        <w:pStyle w:val="Heading3"/>
      </w:pPr>
      <w:bookmarkStart w:id="2062" w:name="_TocAnchor212_2061"/>
      <w:r>
        <w:t xml:space="preserve">Г-23. Создание семантических таблиц</w:t>
      </w:r>
      <w:bookmarkEnd w:id="2062"/>
    </w:p>
    <w:p>
      <w:pPr>
        <w:pStyle w:val="Compact"/>
        <w:numPr>
          <w:ilvl w:val="0"/>
          <w:numId w:val="1024"/>
        </w:numPr>
      </w:pPr>
      <w:r>
        <w:rPr>
          <w:b/>
          <w:bCs/>
        </w:rPr>
        <w:t xml:space="preserve">Применимость:</w:t>
      </w:r>
      <w:r>
        <w:t xml:space="preserve"> </w:t>
      </w:r>
      <w:r>
        <w:t xml:space="preserve">средство, позволяющее создавать таблицы.</w:t>
      </w:r>
    </w:p>
    <w:p>
      <w:pPr>
        <w:pStyle w:val="Compact"/>
        <w:numPr>
          <w:ilvl w:val="0"/>
          <w:numId w:val="1024"/>
        </w:numPr>
      </w:pPr>
      <w:r>
        <w:rPr>
          <w:b/>
          <w:bCs/>
        </w:rPr>
        <w:t xml:space="preserve">Предусловия:</w:t>
      </w:r>
      <w:r>
        <w:t xml:space="preserve"> </w:t>
      </w:r>
      <w:r>
        <w:t xml:space="preserve">простая таблица с заголовками и сложная таблица со слияниями, пустыми разделительными строками, скрытыми данными и неочевидным порядком чтения.</w:t>
      </w:r>
    </w:p>
    <w:p>
      <w:pPr>
        <w:pStyle w:val="Compact"/>
        <w:numPr>
          <w:ilvl w:val="0"/>
          <w:numId w:val="1024"/>
        </w:numPr>
      </w:pPr>
      <w:r>
        <w:rPr>
          <w:b/>
          <w:bCs/>
        </w:rPr>
        <w:t xml:space="preserve">Шаги и параметры:</w:t>
      </w:r>
      <w:r>
        <w:t xml:space="preserve"> </w:t>
      </w:r>
      <w:r>
        <w:t xml:space="preserve">назначить строки и столбцы заголовков; проверить связи; поочередно создать слияние, пустую разделительную строку, скрытые данные и неочевидный порядок чтения; для каждой проблемы, которую средство способно обнаружить, получить предупреждение и предложение исправления; сохранить, открыть повторно и выполнить Б-04.</w:t>
      </w:r>
    </w:p>
    <w:p>
      <w:pPr>
        <w:pStyle w:val="Compact"/>
        <w:numPr>
          <w:ilvl w:val="0"/>
          <w:numId w:val="1024"/>
        </w:numPr>
      </w:pPr>
      <w:r>
        <w:rPr>
          <w:b/>
          <w:bCs/>
        </w:rPr>
        <w:t xml:space="preserve">Прохождение/нарушение:</w:t>
      </w:r>
      <w:r>
        <w:t xml:space="preserve"> </w:t>
      </w:r>
      <w:r>
        <w:t xml:space="preserve">проходит, если семантика назначается доступно и сохраняется; если средство способно обнаружить слияние, пустую разделительную строку, скрытые данные или неочевидный порядок чтения, оно предлагает исправление. Нарушение при доступном только визуальном оформлении либо обнаруженной проблеме без предложения исправления.</w:t>
      </w:r>
    </w:p>
    <w:p>
      <w:pPr>
        <w:pStyle w:val="Compact"/>
        <w:numPr>
          <w:ilvl w:val="0"/>
          <w:numId w:val="1024"/>
        </w:numPr>
      </w:pPr>
      <w:r>
        <w:rPr>
          <w:b/>
          <w:bCs/>
        </w:rPr>
        <w:t xml:space="preserve">NA/не проверено:</w:t>
      </w:r>
      <w:r>
        <w:t xml:space="preserve"> </w:t>
      </w:r>
      <w:r>
        <w:t xml:space="preserve">NA для средства без таблиц; не проверено без поддерживаемого выходного формата.</w:t>
      </w:r>
    </w:p>
    <w:p>
      <w:pPr>
        <w:pStyle w:val="Compact"/>
        <w:numPr>
          <w:ilvl w:val="0"/>
          <w:numId w:val="1024"/>
        </w:numPr>
      </w:pPr>
      <w:r>
        <w:rPr>
          <w:b/>
          <w:bCs/>
        </w:rPr>
        <w:t xml:space="preserve">Минимальное доказательство:</w:t>
      </w:r>
      <w:r>
        <w:t xml:space="preserve"> </w:t>
      </w:r>
      <w:r>
        <w:t xml:space="preserve">контрольные таблицы, свойства, предупреждения и результат Б-04.</w:t>
      </w:r>
    </w:p>
    <w:p>
      <w:pPr>
        <w:pStyle w:val="Compact"/>
        <w:numPr>
          <w:ilvl w:val="0"/>
          <w:numId w:val="1024"/>
        </w:numPr>
      </w:pPr>
      <w:r>
        <w:rPr>
          <w:b/>
          <w:bCs/>
        </w:rPr>
        <w:t xml:space="preserve">Нормативная ссылка:</w:t>
      </w:r>
      <w:r>
        <w:t xml:space="preserve"> </w:t>
      </w:r>
      <w:hyperlink r:id="rId20">
        <w:r>
          <w:rPr>
            <w:rStyle w:val="Hyperlink"/>
          </w:rPr>
          <w:t xml:space="preserve">EN 301 549 V4.1.1, 5.10.1-5.10.4</w:t>
        </w:r>
      </w:hyperlink>
      <w:r>
        <w:t xml:space="preserve">.</w:t>
      </w:r>
    </w:p>
    <w:p>
      <w:pPr>
        <w:pStyle w:val="Compact"/>
        <w:numPr>
          <w:ilvl w:val="0"/>
          <w:numId w:val="1024"/>
        </w:numPr>
      </w:pPr>
      <w:r>
        <w:rPr>
          <w:b/>
          <w:bCs/>
        </w:rPr>
        <w:t xml:space="preserve">Граница проекта:</w:t>
      </w:r>
      <w:r>
        <w:t xml:space="preserve"> </w:t>
      </w:r>
      <w:r>
        <w:t xml:space="preserve">обязательное предупреждение о сложной таблице является</w:t>
      </w:r>
      <w:r>
        <w:t xml:space="preserve"> </w:t>
      </w:r>
      <w:r>
        <w:rPr>
          <w:b/>
          <w:bCs/>
        </w:rPr>
        <w:t xml:space="preserve">Предложением проекта</w:t>
      </w:r>
      <w:r>
        <w:t xml:space="preserve">; перечень рискованных структур определяет профиль проекта и тип документа.</w:t>
      </w:r>
    </w:p>
    <w:bookmarkEnd w:id="52"/>
    <w:bookmarkStart w:id="53" w:name="X544893157e16069ff329e54d3b58651f41d5a74"/>
    <w:p>
      <w:pPr>
        <w:pStyle w:val="Heading3"/>
      </w:pPr>
      <w:bookmarkStart w:id="2064" w:name="_TocAnchor221_2063"/>
      <w:r>
        <w:t xml:space="preserve">Г-24. Контраст содержимого и доступные шаблоны</w:t>
      </w:r>
      <w:bookmarkEnd w:id="2064"/>
    </w:p>
    <w:p>
      <w:pPr>
        <w:pStyle w:val="Compact"/>
        <w:numPr>
          <w:ilvl w:val="0"/>
          <w:numId w:val="1025"/>
        </w:numPr>
      </w:pPr>
      <w:r>
        <w:rPr>
          <w:b/>
          <w:bCs/>
        </w:rPr>
        <w:t xml:space="preserve">Применимость:</w:t>
      </w:r>
      <w:r>
        <w:t xml:space="preserve"> </w:t>
      </w:r>
      <w:r>
        <w:t xml:space="preserve">средство с настройками цвета, палитрами или шаблонами.</w:t>
      </w:r>
    </w:p>
    <w:p>
      <w:pPr>
        <w:pStyle w:val="Compact"/>
        <w:numPr>
          <w:ilvl w:val="0"/>
          <w:numId w:val="1025"/>
        </w:numPr>
      </w:pPr>
      <w:r>
        <w:rPr>
          <w:b/>
          <w:bCs/>
        </w:rPr>
        <w:t xml:space="preserve">Предусловия:</w:t>
      </w:r>
      <w:r>
        <w:t xml:space="preserve"> </w:t>
      </w:r>
      <w:r>
        <w:t xml:space="preserve">образец с недостаточным контрастом, галерея шаблонов и заявленный доступный шаблон.</w:t>
      </w:r>
    </w:p>
    <w:p>
      <w:pPr>
        <w:pStyle w:val="Compact"/>
        <w:numPr>
          <w:ilvl w:val="0"/>
          <w:numId w:val="1025"/>
        </w:numPr>
      </w:pPr>
      <w:r>
        <w:rPr>
          <w:b/>
          <w:bCs/>
        </w:rPr>
        <w:t xml:space="preserve">Шаги и параметры:</w:t>
      </w:r>
      <w:r>
        <w:t xml:space="preserve"> </w:t>
      </w:r>
      <w:r>
        <w:t xml:space="preserve">обнаружить и исправить контраст; найти шаблон доступным способом; создать из него файл; проверить цветовую независимость и применимые Б-01-Б-17.</w:t>
      </w:r>
    </w:p>
    <w:p>
      <w:pPr>
        <w:pStyle w:val="Compact"/>
        <w:numPr>
          <w:ilvl w:val="0"/>
          <w:numId w:val="1025"/>
        </w:numPr>
      </w:pPr>
      <w:r>
        <w:rPr>
          <w:b/>
          <w:bCs/>
        </w:rPr>
        <w:t xml:space="preserve">Прохождение/нарушение:</w:t>
      </w:r>
      <w:r>
        <w:t xml:space="preserve"> </w:t>
      </w:r>
      <w:r>
        <w:t xml:space="preserve">проходит, если для обнаруживаемого недостаточного контраста предлагается исправление, а при наличии шаблонов хотя бы один из них доступен, обозначен и поддерживает создание доступного контента; нарушение при обнаруженной проблеме без исправления или отсутствии такого шаблона.</w:t>
      </w:r>
    </w:p>
    <w:p>
      <w:pPr>
        <w:pStyle w:val="Compact"/>
        <w:numPr>
          <w:ilvl w:val="0"/>
          <w:numId w:val="1025"/>
        </w:numPr>
      </w:pPr>
      <w:r>
        <w:rPr>
          <w:b/>
          <w:bCs/>
        </w:rPr>
        <w:t xml:space="preserve">NA/не проверено:</w:t>
      </w:r>
      <w:r>
        <w:t xml:space="preserve"> </w:t>
      </w:r>
      <w:r>
        <w:t xml:space="preserve">для подрезультата контраста NA допустим, если средство не работает с цветом или не способно обнаруживать недостаточный контраст; для подрезультата шаблонов NA допустим, если средство не предоставляет шаблоны. Итоговый статус определяется единым правилом в начале приложения: частичный NA не становится статусом карточки. Не проверено применяется без контрольного файла или доступного файла шаблона для применимого подрезультата.</w:t>
      </w:r>
    </w:p>
    <w:p>
      <w:pPr>
        <w:pStyle w:val="Compact"/>
        <w:numPr>
          <w:ilvl w:val="0"/>
          <w:numId w:val="1025"/>
        </w:numPr>
      </w:pPr>
      <w:r>
        <w:rPr>
          <w:b/>
          <w:bCs/>
        </w:rPr>
        <w:t xml:space="preserve">Минимальное доказательство:</w:t>
      </w:r>
      <w:r>
        <w:t xml:space="preserve"> </w:t>
      </w:r>
      <w:r>
        <w:t xml:space="preserve">измерения, путь выбора шаблона, созданный файл и протоколы Б.</w:t>
      </w:r>
    </w:p>
    <w:p>
      <w:pPr>
        <w:pStyle w:val="Compact"/>
        <w:numPr>
          <w:ilvl w:val="0"/>
          <w:numId w:val="1025"/>
        </w:numPr>
      </w:pPr>
      <w:r>
        <w:rPr>
          <w:b/>
          <w:bCs/>
        </w:rPr>
        <w:t xml:space="preserve">Нормативная ссылка:</w:t>
      </w:r>
      <w:r>
        <w:t xml:space="preserve"> </w:t>
      </w:r>
      <w:hyperlink r:id="rId20">
        <w:r>
          <w:rPr>
            <w:rStyle w:val="Hyperlink"/>
          </w:rPr>
          <w:t xml:space="preserve">EN 301 549 V4.1.1, 5.10.4-5.10.5</w:t>
        </w:r>
      </w:hyperlink>
      <w:r>
        <w:t xml:space="preserve">.</w:t>
      </w:r>
    </w:p>
    <w:p>
      <w:pPr>
        <w:pStyle w:val="Compact"/>
        <w:numPr>
          <w:ilvl w:val="0"/>
          <w:numId w:val="1025"/>
        </w:numPr>
      </w:pPr>
      <w:r>
        <w:rPr>
          <w:b/>
          <w:bCs/>
        </w:rPr>
        <w:t xml:space="preserve">Граница проекта:</w:t>
      </w:r>
      <w:r>
        <w:t xml:space="preserve"> </w:t>
      </w:r>
      <w:r>
        <w:t xml:space="preserve">маркировка шаблона в галерее и прохождение созданным файлом всех применимых проверок раздела Б являются правилами проекта.</w:t>
      </w:r>
    </w:p>
    <w:bookmarkEnd w:id="53"/>
    <w:bookmarkStart w:id="54" w:name="X829b7b33681193bb1642eb1e5371e26f41cf67a"/>
    <w:p>
      <w:pPr>
        <w:pStyle w:val="Heading3"/>
      </w:pPr>
      <w:bookmarkStart w:id="2066" w:name="_TocAnchor230_2065"/>
      <w:r>
        <w:t xml:space="preserve">Г-25. Создание мультимедийных альтернатив</w:t>
      </w:r>
      <w:bookmarkEnd w:id="2066"/>
    </w:p>
    <w:p>
      <w:pPr>
        <w:pStyle w:val="Compact"/>
        <w:numPr>
          <w:ilvl w:val="0"/>
          <w:numId w:val="1026"/>
        </w:numPr>
      </w:pPr>
      <w:r>
        <w:rPr>
          <w:b/>
          <w:bCs/>
        </w:rPr>
        <w:t xml:space="preserve">Применимость:</w:t>
      </w:r>
      <w:r>
        <w:t xml:space="preserve"> </w:t>
      </w:r>
      <w:r>
        <w:t xml:space="preserve">средство, позволяющее вставлять или создавать аудио и видео.</w:t>
      </w:r>
    </w:p>
    <w:p>
      <w:pPr>
        <w:pStyle w:val="Compact"/>
        <w:numPr>
          <w:ilvl w:val="0"/>
          <w:numId w:val="1026"/>
        </w:numPr>
      </w:pPr>
      <w:r>
        <w:rPr>
          <w:b/>
          <w:bCs/>
        </w:rPr>
        <w:t xml:space="preserve">Предусловия:</w:t>
      </w:r>
      <w:r>
        <w:t xml:space="preserve"> </w:t>
      </w:r>
      <w:r>
        <w:t xml:space="preserve">короткий медиаматериал, текст субтитров, транскрипт и аудиоописание.</w:t>
      </w:r>
    </w:p>
    <w:p>
      <w:pPr>
        <w:pStyle w:val="Compact"/>
        <w:numPr>
          <w:ilvl w:val="0"/>
          <w:numId w:val="1026"/>
        </w:numPr>
      </w:pPr>
      <w:r>
        <w:rPr>
          <w:b/>
          <w:bCs/>
        </w:rPr>
        <w:t xml:space="preserve">Шаги и параметры:</w:t>
      </w:r>
      <w:r>
        <w:t xml:space="preserve"> </w:t>
      </w:r>
      <w:r>
        <w:t xml:space="preserve">добавить и изменить каждую применимую альтернативу; управлять временными метками без указателя; воспроизвести результат с программой экранного доступа; сохранить и открыть повторно.</w:t>
      </w:r>
    </w:p>
    <w:p>
      <w:pPr>
        <w:pStyle w:val="Compact"/>
        <w:numPr>
          <w:ilvl w:val="0"/>
          <w:numId w:val="1026"/>
        </w:numPr>
      </w:pPr>
      <w:r>
        <w:rPr>
          <w:b/>
          <w:bCs/>
        </w:rPr>
        <w:t xml:space="preserve">Прохождение/нарушение:</w:t>
      </w:r>
      <w:r>
        <w:t xml:space="preserve"> </w:t>
      </w:r>
      <w:r>
        <w:t xml:space="preserve">проходит, если альтернативы создаются, редактируются, воспроизводятся и сохраняются доступным способом; нарушение при недоступном редакторе или потере дорожки.</w:t>
      </w:r>
    </w:p>
    <w:p>
      <w:pPr>
        <w:pStyle w:val="Compact"/>
        <w:numPr>
          <w:ilvl w:val="0"/>
          <w:numId w:val="1026"/>
        </w:numPr>
      </w:pPr>
      <w:r>
        <w:rPr>
          <w:b/>
          <w:bCs/>
        </w:rPr>
        <w:t xml:space="preserve">NA/не проверено:</w:t>
      </w:r>
      <w:r>
        <w:t xml:space="preserve"> </w:t>
      </w:r>
      <w:r>
        <w:t xml:space="preserve">для каждой альтернативы внутренний NA допустим только при неприменимости к выбранному виду материала. Итоговый NA допустим для средства без мультимедиа либо когда все альтернативы неприменимы; в остальных сочетаниях итоговый статус определяется единым правилом в начале приложения. Не проверено применяется при отсутствии материала для применимой альтернативы.</w:t>
      </w:r>
    </w:p>
    <w:p>
      <w:pPr>
        <w:pStyle w:val="Compact"/>
        <w:numPr>
          <w:ilvl w:val="0"/>
          <w:numId w:val="1026"/>
        </w:numPr>
      </w:pPr>
      <w:r>
        <w:rPr>
          <w:b/>
          <w:bCs/>
        </w:rPr>
        <w:t xml:space="preserve">Минимальное доказательство:</w:t>
      </w:r>
      <w:r>
        <w:t xml:space="preserve"> </w:t>
      </w:r>
      <w:r>
        <w:t xml:space="preserve">исходный и сохраненный файлы, запись редактирования и воспроизведения, свойства дорожек.</w:t>
      </w:r>
    </w:p>
    <w:p>
      <w:pPr>
        <w:pStyle w:val="Compact"/>
        <w:numPr>
          <w:ilvl w:val="0"/>
          <w:numId w:val="1026"/>
        </w:numPr>
      </w:pPr>
      <w:r>
        <w:rPr>
          <w:b/>
          <w:bCs/>
        </w:rPr>
        <w:t xml:space="preserve">Нормативная ссылка:</w:t>
      </w:r>
      <w:r>
        <w:t xml:space="preserve"> </w:t>
      </w:r>
      <w:hyperlink r:id="rId20">
        <w:r>
          <w:rPr>
            <w:rStyle w:val="Hyperlink"/>
          </w:rPr>
          <w:t xml:space="preserve">EN 301 549 V4.1.1, 5.10.1-5.10.3</w:t>
        </w:r>
      </w:hyperlink>
      <w:r>
        <w:t xml:space="preserve">.</w:t>
      </w:r>
    </w:p>
    <w:p>
      <w:pPr>
        <w:pStyle w:val="Compact"/>
        <w:numPr>
          <w:ilvl w:val="0"/>
          <w:numId w:val="1026"/>
        </w:numPr>
      </w:pPr>
      <w:r>
        <w:rPr>
          <w:b/>
          <w:bCs/>
        </w:rPr>
        <w:t xml:space="preserve">Граница проекта:</w:t>
      </w:r>
      <w:r>
        <w:t xml:space="preserve"> </w:t>
      </w:r>
      <w:r>
        <w:t xml:space="preserve">состав альтернатив определяется типом материала и принятым профилем результата.</w:t>
      </w:r>
    </w:p>
    <w:bookmarkEnd w:id="54"/>
    <w:bookmarkStart w:id="55" w:name="Xfd6920421d417cffdec7c6f443191ccdb66f60e"/>
    <w:p>
      <w:pPr>
        <w:pStyle w:val="Heading3"/>
      </w:pPr>
      <w:bookmarkStart w:id="2068" w:name="_TocAnchor239_2067"/>
      <w:r>
        <w:t xml:space="preserve">Г-26. Сохранение семантики при повторном сохранении</w:t>
      </w:r>
      <w:bookmarkEnd w:id="2068"/>
    </w:p>
    <w:p>
      <w:pPr>
        <w:pStyle w:val="Compact"/>
        <w:numPr>
          <w:ilvl w:val="0"/>
          <w:numId w:val="1027"/>
        </w:numPr>
      </w:pPr>
      <w:r>
        <w:rPr>
          <w:b/>
          <w:bCs/>
        </w:rPr>
        <w:t xml:space="preserve">Применимость:</w:t>
      </w:r>
      <w:r>
        <w:t xml:space="preserve"> </w:t>
      </w:r>
      <w:r>
        <w:t xml:space="preserve">открытие и сохранение существующих структурированных файлов.</w:t>
      </w:r>
    </w:p>
    <w:p>
      <w:pPr>
        <w:pStyle w:val="Compact"/>
        <w:numPr>
          <w:ilvl w:val="0"/>
          <w:numId w:val="1027"/>
        </w:numPr>
      </w:pPr>
      <w:r>
        <w:rPr>
          <w:b/>
          <w:bCs/>
        </w:rPr>
        <w:t xml:space="preserve">Предусловия:</w:t>
      </w:r>
      <w:r>
        <w:t xml:space="preserve"> </w:t>
      </w:r>
      <w:r>
        <w:t xml:space="preserve">контрольный файл с заголовками, языком, ссылками, таблицами, альтернативами, формами и иными поддерживаемыми свойствами.</w:t>
      </w:r>
    </w:p>
    <w:p>
      <w:pPr>
        <w:pStyle w:val="Compact"/>
        <w:numPr>
          <w:ilvl w:val="0"/>
          <w:numId w:val="1027"/>
        </w:numPr>
      </w:pPr>
      <w:r>
        <w:rPr>
          <w:b/>
          <w:bCs/>
        </w:rPr>
        <w:t xml:space="preserve">Шаги и параметры:</w:t>
      </w:r>
      <w:r>
        <w:t xml:space="preserve"> </w:t>
      </w:r>
      <w:r>
        <w:t xml:space="preserve">проверить исходный файл по Б; открыть, внести нейтральное изменение, сохранить в том же формате, открыть снова и повторить те же проверки; сравнить свойства.</w:t>
      </w:r>
    </w:p>
    <w:p>
      <w:pPr>
        <w:pStyle w:val="Compact"/>
        <w:numPr>
          <w:ilvl w:val="0"/>
          <w:numId w:val="1027"/>
        </w:numPr>
      </w:pPr>
      <w:r>
        <w:rPr>
          <w:b/>
          <w:bCs/>
        </w:rPr>
        <w:t xml:space="preserve">Прохождение/нарушение:</w:t>
      </w:r>
      <w:r>
        <w:t xml:space="preserve"> </w:t>
      </w:r>
      <w:r>
        <w:t xml:space="preserve">проходит, если при реструктурирующем или перекодирующем преобразовании поддерживаемые сведения доступности сохраняются там, где выходная технология имеет эквивалентные механизмы; нарушение при потере такого свойства.</w:t>
      </w:r>
    </w:p>
    <w:p>
      <w:pPr>
        <w:pStyle w:val="Compact"/>
        <w:numPr>
          <w:ilvl w:val="0"/>
          <w:numId w:val="1027"/>
        </w:numPr>
      </w:pPr>
      <w:r>
        <w:rPr>
          <w:b/>
          <w:bCs/>
        </w:rPr>
        <w:t xml:space="preserve">NA/не проверено:</w:t>
      </w:r>
      <w:r>
        <w:t xml:space="preserve"> </w:t>
      </w:r>
      <w:r>
        <w:t xml:space="preserve">NA для средства, которое не открывает существующие файлы; не проверено без разрешенного контрольного файла.</w:t>
      </w:r>
    </w:p>
    <w:p>
      <w:pPr>
        <w:pStyle w:val="Compact"/>
        <w:numPr>
          <w:ilvl w:val="0"/>
          <w:numId w:val="1027"/>
        </w:numPr>
      </w:pPr>
      <w:r>
        <w:rPr>
          <w:b/>
          <w:bCs/>
        </w:rPr>
        <w:t xml:space="preserve">Минимальное доказательство:</w:t>
      </w:r>
      <w:r>
        <w:t xml:space="preserve"> </w:t>
      </w:r>
      <w:r>
        <w:t xml:space="preserve">исходный и повторно сохраненный файлы, точное изменение и сравнительная таблица Б.</w:t>
      </w:r>
    </w:p>
    <w:p>
      <w:pPr>
        <w:pStyle w:val="Compact"/>
        <w:numPr>
          <w:ilvl w:val="0"/>
          <w:numId w:val="1027"/>
        </w:numPr>
      </w:pPr>
      <w:r>
        <w:rPr>
          <w:b/>
          <w:bCs/>
        </w:rPr>
        <w:t xml:space="preserve">Нормативная ссылка:</w:t>
      </w:r>
      <w:r>
        <w:t xml:space="preserve"> </w:t>
      </w:r>
      <w:hyperlink r:id="rId20">
        <w:r>
          <w:rPr>
            <w:rStyle w:val="Hyperlink"/>
          </w:rPr>
          <w:t xml:space="preserve">EN 301 549 V4.1.1, 5.10.3</w:t>
        </w:r>
      </w:hyperlink>
      <w:r>
        <w:t xml:space="preserve">.</w:t>
      </w:r>
    </w:p>
    <w:p>
      <w:pPr>
        <w:pStyle w:val="Compact"/>
        <w:numPr>
          <w:ilvl w:val="0"/>
          <w:numId w:val="1027"/>
        </w:numPr>
      </w:pPr>
      <w:r>
        <w:rPr>
          <w:b/>
          <w:bCs/>
        </w:rPr>
        <w:t xml:space="preserve">Граница проекта:</w:t>
      </w:r>
      <w:r>
        <w:t xml:space="preserve"> </w:t>
      </w:r>
      <w:r>
        <w:t xml:space="preserve">проверяется каждый заявленный формат отдельно; результат одного формата не переносится на другой.</w:t>
      </w:r>
    </w:p>
    <w:bookmarkEnd w:id="55"/>
    <w:bookmarkStart w:id="57" w:name="г-27.-экспорт-доступного-результата"/>
    <w:p>
      <w:pPr>
        <w:pStyle w:val="Heading3"/>
      </w:pPr>
      <w:bookmarkStart w:id="2070" w:name="_TocAnchor248_2069"/>
      <w:r>
        <w:t xml:space="preserve">Г-27. Экспорт доступного результата</w:t>
      </w:r>
      <w:bookmarkEnd w:id="2070"/>
    </w:p>
    <w:p>
      <w:pPr>
        <w:pStyle w:val="Compact"/>
        <w:numPr>
          <w:ilvl w:val="0"/>
          <w:numId w:val="1028"/>
        </w:numPr>
      </w:pPr>
      <w:r>
        <w:rPr>
          <w:b/>
          <w:bCs/>
        </w:rPr>
        <w:t xml:space="preserve">Применимость:</w:t>
      </w:r>
      <w:r>
        <w:t xml:space="preserve"> </w:t>
      </w:r>
      <w:r>
        <w:t xml:space="preserve">экспорт или сохранение в другой формат, включая PDF.</w:t>
      </w:r>
    </w:p>
    <w:p>
      <w:pPr>
        <w:pStyle w:val="Compact"/>
        <w:numPr>
          <w:ilvl w:val="0"/>
          <w:numId w:val="1028"/>
        </w:numPr>
      </w:pPr>
      <w:r>
        <w:rPr>
          <w:b/>
          <w:bCs/>
        </w:rPr>
        <w:t xml:space="preserve">Предусловия:</w:t>
      </w:r>
      <w:r>
        <w:t xml:space="preserve"> </w:t>
      </w:r>
      <w:r>
        <w:t xml:space="preserve">контрольный доступный исходник, файл с известной проблемой, перечень форматов, способных потерять семантику, выбранные в паспорте профили экспорта и протоколы раздела Б. Для проверки PDF/UA фиксируется профиль PDF/UA-1 (ISO 14289-1:2014) и контрольные сведения: теги, язык, порядок чтения, альтернативный текст, заголовки и структура таблиц.</w:t>
      </w:r>
    </w:p>
    <w:p>
      <w:pPr>
        <w:pStyle w:val="Compact"/>
        <w:numPr>
          <w:ilvl w:val="0"/>
          <w:numId w:val="1028"/>
        </w:numPr>
      </w:pPr>
      <w:r>
        <w:rPr>
          <w:b/>
          <w:bCs/>
        </w:rPr>
        <w:t xml:space="preserve">Шаги и параметры:</w:t>
      </w:r>
      <w:r>
        <w:t xml:space="preserve"> </w:t>
      </w:r>
      <w:r>
        <w:t xml:space="preserve">доступно выбрать формат и, для PDF в профиле апробации, явный профиль PDF/UA-1; экспортировать доступный исходник. Перед каждым экспортом в PDF и иной формат из перечня с риском потери семантики запустить доступную с клавиатуры проверку; перейти ко всем обнаруженным проблемам, исправить их либо осознанно отменить экспорт. Повторить с проблемой, которую средство способно обнаружить, и проверить предложение исправления. Исследовать итоговый файл по полному применимому набору Б-01-Б-17; для PDF/UA-1 проверить заявление профиля и все контрольные сведения валидатором и ручными проверками раздела Б.</w:t>
      </w:r>
    </w:p>
    <w:p>
      <w:pPr>
        <w:pStyle w:val="Compact"/>
        <w:numPr>
          <w:ilvl w:val="0"/>
          <w:numId w:val="1028"/>
        </w:numPr>
      </w:pPr>
      <w:r>
        <w:rPr>
          <w:b/>
          <w:bCs/>
        </w:rPr>
        <w:t xml:space="preserve">Прохождение/нарушение:</w:t>
      </w:r>
      <w:r>
        <w:t xml:space="preserve"> </w:t>
      </w:r>
      <w:r>
        <w:t xml:space="preserve">нормативная часть проходит, если интерфейс экспорта доступен, поддерживаемые сведения сохраняются при наличии эквивалентных механизмов, а обнаруживаемая проблема получает предложение исправления.</w:t>
      </w:r>
      <w:r>
        <w:t xml:space="preserve"> </w:t>
      </w:r>
      <w:r>
        <w:rPr>
          <w:b/>
          <w:bCs/>
        </w:rPr>
        <w:t xml:space="preserve">Предложение проекта:</w:t>
      </w:r>
      <w:r>
        <w:t xml:space="preserve"> </w:t>
      </w:r>
      <w:r>
        <w:t xml:space="preserve">выбранный профиль PDF/UA-1 явно доступен и подтвержден на результате; доступная проверка выполняется до каждого потенциально разрушающего экспорта и позволяет исправить проблему либо отменить экспорт. Итог файла по разделу Б записывается отдельно. Нарушение при потере поддерживаемых свойств, обнаруженной проблеме без предложения исправления, отсутствии выбранного профиля или пропуске обязательной проверки перед экспортом.</w:t>
      </w:r>
    </w:p>
    <w:p>
      <w:pPr>
        <w:pStyle w:val="Compact"/>
        <w:numPr>
          <w:ilvl w:val="0"/>
          <w:numId w:val="1028"/>
        </w:numPr>
      </w:pPr>
      <w:r>
        <w:rPr>
          <w:b/>
          <w:bCs/>
        </w:rPr>
        <w:t xml:space="preserve">NA/не проверено:</w:t>
      </w:r>
      <w:r>
        <w:t xml:space="preserve"> </w:t>
      </w:r>
      <w:r>
        <w:t xml:space="preserve">NA для средства без экспорта; не проверено, если формат или валидатор результата недоступен.</w:t>
      </w:r>
    </w:p>
    <w:p>
      <w:pPr>
        <w:pStyle w:val="Compact"/>
        <w:numPr>
          <w:ilvl w:val="0"/>
          <w:numId w:val="1028"/>
        </w:numPr>
      </w:pPr>
      <w:r>
        <w:rPr>
          <w:b/>
          <w:bCs/>
        </w:rPr>
        <w:t xml:space="preserve">Минимальное доказательство:</w:t>
      </w:r>
      <w:r>
        <w:t xml:space="preserve"> </w:t>
      </w:r>
      <w:r>
        <w:t xml:space="preserve">исходник, выбранный формат и профиль, перечень рискованных форматов, запись проверки до экспорта, исправления или отмены, экспортированный файл, отчет валидатора PDF/UA-1 и полный применимый протокол Б.</w:t>
      </w:r>
    </w:p>
    <w:p>
      <w:pPr>
        <w:pStyle w:val="Compact"/>
        <w:numPr>
          <w:ilvl w:val="0"/>
          <w:numId w:val="1028"/>
        </w:numPr>
      </w:pPr>
      <w:r>
        <w:rPr>
          <w:b/>
          <w:bCs/>
        </w:rPr>
        <w:t xml:space="preserve">Нормативная ссылка:</w:t>
      </w:r>
      <w:r>
        <w:t xml:space="preserve"> </w:t>
      </w:r>
      <w:hyperlink r:id="rId20">
        <w:r>
          <w:rPr>
            <w:rStyle w:val="Hyperlink"/>
          </w:rPr>
          <w:t xml:space="preserve">EN 301 549 V4.1.1, 5.10.3-5.10.4</w:t>
        </w:r>
      </w:hyperlink>
      <w:r>
        <w:t xml:space="preserve">,</w:t>
      </w:r>
      <w:r>
        <w:t xml:space="preserve"> </w:t>
      </w:r>
      <w:hyperlink r:id="rId56">
        <w:r>
          <w:rPr>
            <w:rStyle w:val="Hyperlink"/>
          </w:rPr>
          <w:t xml:space="preserve">ГОСТ Р 70176-2022</w:t>
        </w:r>
      </w:hyperlink>
      <w:r>
        <w:t xml:space="preserve"> </w:t>
      </w:r>
      <w:r>
        <w:t xml:space="preserve">только для полученного PDF.</w:t>
      </w:r>
    </w:p>
    <w:p>
      <w:pPr>
        <w:pStyle w:val="Compact"/>
        <w:numPr>
          <w:ilvl w:val="0"/>
          <w:numId w:val="1028"/>
        </w:numPr>
      </w:pPr>
      <w:r>
        <w:rPr>
          <w:b/>
          <w:bCs/>
        </w:rPr>
        <w:t xml:space="preserve">Граница проекта:</w:t>
      </w:r>
      <w:r>
        <w:t xml:space="preserve"> </w:t>
      </w:r>
      <w:r>
        <w:t xml:space="preserve">наличие явного профиля PDF/UA-1, обязательная проверка перед экспортом и прохождение раздела Б являются</w:t>
      </w:r>
      <w:r>
        <w:t xml:space="preserve"> </w:t>
      </w:r>
      <w:r>
        <w:rPr>
          <w:b/>
          <w:bCs/>
        </w:rPr>
        <w:t xml:space="preserve">Предложением проекта</w:t>
      </w:r>
      <w:r>
        <w:t xml:space="preserve">. ГОСТ Р 70176-2022 не используется как требование к интерфейсу или процессу конвертации; он относится к полученному PDF.</w:t>
      </w:r>
    </w:p>
    <w:bookmarkEnd w:id="57"/>
    <w:bookmarkStart w:id="58" w:name="г-28.-регрессионный-контроль-доступности"/>
    <w:p>
      <w:pPr>
        <w:pStyle w:val="Heading3"/>
      </w:pPr>
      <w:bookmarkStart w:id="2072" w:name="_TocAnchor257_2071"/>
      <w:r>
        <w:t xml:space="preserve">Г-28. Регрессионный контроль доступности</w:t>
      </w:r>
      <w:bookmarkEnd w:id="2072"/>
    </w:p>
    <w:p>
      <w:pPr>
        <w:pStyle w:val="Compact"/>
        <w:numPr>
          <w:ilvl w:val="0"/>
          <w:numId w:val="1029"/>
        </w:numPr>
      </w:pPr>
      <w:r>
        <w:rPr>
          <w:b/>
          <w:bCs/>
        </w:rPr>
        <w:t xml:space="preserve">Применимость:</w:t>
      </w:r>
      <w:r>
        <w:t xml:space="preserve"> </w:t>
      </w:r>
      <w:r>
        <w:t xml:space="preserve">повторная проверка измененной версии или сборки.</w:t>
      </w:r>
    </w:p>
    <w:p>
      <w:pPr>
        <w:pStyle w:val="Compact"/>
        <w:numPr>
          <w:ilvl w:val="0"/>
          <w:numId w:val="1029"/>
        </w:numPr>
      </w:pPr>
      <w:r>
        <w:rPr>
          <w:b/>
          <w:bCs/>
        </w:rPr>
        <w:t xml:space="preserve">Предусловия:</w:t>
      </w:r>
      <w:r>
        <w:t xml:space="preserve"> </w:t>
      </w:r>
      <w:r>
        <w:t xml:space="preserve">базовый отчет, перечень изменений, критические компоненты и файлы результата.</w:t>
      </w:r>
    </w:p>
    <w:p>
      <w:pPr>
        <w:pStyle w:val="Compact"/>
        <w:numPr>
          <w:ilvl w:val="0"/>
          <w:numId w:val="1029"/>
        </w:numPr>
      </w:pPr>
      <w:r>
        <w:rPr>
          <w:b/>
          <w:bCs/>
        </w:rPr>
        <w:t xml:space="preserve">Шаги и параметры:</w:t>
      </w:r>
      <w:r>
        <w:t xml:space="preserve"> </w:t>
      </w:r>
      <w:r>
        <w:t xml:space="preserve">повторить исправленные дефекты; пройти критические сценарии и затронутые Г-проверки; сравнить дерево доступности; повторно проверить контрольные экспортные файлы по Б.</w:t>
      </w:r>
    </w:p>
    <w:p>
      <w:pPr>
        <w:pStyle w:val="Compact"/>
        <w:numPr>
          <w:ilvl w:val="0"/>
          <w:numId w:val="1029"/>
        </w:numPr>
      </w:pPr>
      <w:r>
        <w:rPr>
          <w:b/>
          <w:bCs/>
        </w:rPr>
        <w:t xml:space="preserve">Прохождение/нарушение:</w:t>
      </w:r>
      <w:r>
        <w:t xml:space="preserve"> </w:t>
      </w:r>
      <w:r>
        <w:t xml:space="preserve">проходит, если исправления подтверждены и новых дефектов в заявленной матрице нет; нарушение при возврате дефекта или новой потере доступности.</w:t>
      </w:r>
    </w:p>
    <w:p>
      <w:pPr>
        <w:pStyle w:val="Compact"/>
        <w:numPr>
          <w:ilvl w:val="0"/>
          <w:numId w:val="1029"/>
        </w:numPr>
      </w:pPr>
      <w:r>
        <w:rPr>
          <w:b/>
          <w:bCs/>
        </w:rPr>
        <w:t xml:space="preserve">NA/не проверено:</w:t>
      </w:r>
      <w:r>
        <w:t xml:space="preserve"> </w:t>
      </w:r>
      <w:r>
        <w:t xml:space="preserve">NA для первой оценки без базовой версии; не проверено, если прежняя сборка или доказательства недоступны.</w:t>
      </w:r>
    </w:p>
    <w:p>
      <w:pPr>
        <w:pStyle w:val="Compact"/>
        <w:numPr>
          <w:ilvl w:val="0"/>
          <w:numId w:val="1029"/>
        </w:numPr>
      </w:pPr>
      <w:r>
        <w:rPr>
          <w:b/>
          <w:bCs/>
        </w:rPr>
        <w:t xml:space="preserve">Минимальное доказательство:</w:t>
      </w:r>
      <w:r>
        <w:t xml:space="preserve"> </w:t>
      </w:r>
      <w:r>
        <w:t xml:space="preserve">матрица «версия, изменение, сценарий, конфигурация, прежний и новый результат», файлы сравнения.</w:t>
      </w:r>
    </w:p>
    <w:p>
      <w:pPr>
        <w:pStyle w:val="Compact"/>
        <w:numPr>
          <w:ilvl w:val="0"/>
          <w:numId w:val="1029"/>
        </w:numPr>
      </w:pPr>
      <w:r>
        <w:rPr>
          <w:b/>
          <w:bCs/>
        </w:rPr>
        <w:t xml:space="preserve">Нормативная ссылка:</w:t>
      </w:r>
      <w:r>
        <w:t xml:space="preserve"> </w:t>
      </w:r>
      <w:r>
        <w:t xml:space="preserve">раздел 8 части I методологии.</w:t>
      </w:r>
    </w:p>
    <w:p>
      <w:pPr>
        <w:pStyle w:val="Compact"/>
        <w:numPr>
          <w:ilvl w:val="0"/>
          <w:numId w:val="1029"/>
        </w:numPr>
      </w:pPr>
      <w:r>
        <w:rPr>
          <w:b/>
          <w:bCs/>
        </w:rPr>
        <w:t xml:space="preserve">Граница проекта:</w:t>
      </w:r>
      <w:r>
        <w:t xml:space="preserve"> </w:t>
      </w:r>
      <w:r>
        <w:t xml:space="preserve">обязательная матрица релизного контроля является</w:t>
      </w:r>
      <w:r>
        <w:t xml:space="preserve"> </w:t>
      </w:r>
      <w:r>
        <w:rPr>
          <w:b/>
          <w:bCs/>
        </w:rPr>
        <w:t xml:space="preserve">Предложением проекта</w:t>
      </w:r>
      <w:r>
        <w:t xml:space="preserve">, а не отдельным требованием стандарта.</w:t>
      </w:r>
    </w:p>
    <w:bookmarkEnd w:id="58"/>
    <w:bookmarkStart w:id="59" w:name="г-29.-встроенное-чтение-вслух"/>
    <w:p>
      <w:pPr>
        <w:pStyle w:val="Heading3"/>
      </w:pPr>
      <w:bookmarkStart w:id="2074" w:name="_TocAnchor266_2073"/>
      <w:r>
        <w:t xml:space="preserve">Г-29. Встроенное чтение вслух</w:t>
      </w:r>
      <w:bookmarkEnd w:id="2074"/>
    </w:p>
    <w:p>
      <w:pPr>
        <w:pStyle w:val="Compact"/>
        <w:numPr>
          <w:ilvl w:val="0"/>
          <w:numId w:val="1030"/>
        </w:numPr>
      </w:pPr>
      <w:r>
        <w:rPr>
          <w:b/>
          <w:bCs/>
        </w:rPr>
        <w:t xml:space="preserve">Применимость:</w:t>
      </w:r>
      <w:r>
        <w:t xml:space="preserve"> </w:t>
      </w:r>
      <w:r>
        <w:t xml:space="preserve">приложение с заявленной функцией чтения вслух.</w:t>
      </w:r>
    </w:p>
    <w:p>
      <w:pPr>
        <w:pStyle w:val="Compact"/>
        <w:numPr>
          <w:ilvl w:val="0"/>
          <w:numId w:val="1030"/>
        </w:numPr>
      </w:pPr>
      <w:r>
        <w:rPr>
          <w:b/>
          <w:bCs/>
        </w:rPr>
        <w:t xml:space="preserve">Предусловия:</w:t>
      </w:r>
      <w:r>
        <w:t xml:space="preserve"> </w:t>
      </w:r>
      <w:r>
        <w:t xml:space="preserve">документ со структурой, таблицей, изображением и сменой языка; программа экранного доступа включена и выключена по отдельности.</w:t>
      </w:r>
    </w:p>
    <w:p>
      <w:pPr>
        <w:pStyle w:val="Compact"/>
        <w:numPr>
          <w:ilvl w:val="0"/>
          <w:numId w:val="1030"/>
        </w:numPr>
      </w:pPr>
      <w:r>
        <w:rPr>
          <w:b/>
          <w:bCs/>
        </w:rPr>
        <w:t xml:space="preserve">Шаги и параметры:</w:t>
      </w:r>
      <w:r>
        <w:t xml:space="preserve"> </w:t>
      </w:r>
      <w:r>
        <w:t xml:space="preserve">запустить и остановить чтение с клавиатуры; перемещаться по тексту; изменить скорость и голос, если заявлено; проверить документацию. Отдельно включить каждую документированную функцию доступности платформы из конфигурации, в том числе программу экранного доступа, и установить, нарушает ли чтение ее обычную работу и было ли такое нарушение явно запрошено пользователем. По правилу проекта проверить сообщение позиции чтения.</w:t>
      </w:r>
    </w:p>
    <w:p>
      <w:pPr>
        <w:pStyle w:val="Compact"/>
        <w:numPr>
          <w:ilvl w:val="0"/>
          <w:numId w:val="1030"/>
        </w:numPr>
      </w:pPr>
      <w:r>
        <w:rPr>
          <w:b/>
          <w:bCs/>
        </w:rPr>
        <w:t xml:space="preserve">Прохождение/нарушение:</w:t>
      </w:r>
      <w:r>
        <w:t xml:space="preserve"> </w:t>
      </w:r>
      <w:r>
        <w:t xml:space="preserve">проходит, если заявленная функция полностью управляется, документирована и не нарушает документированные функции доступности платформы, кроме явно запрошенного пользователем нарушения.</w:t>
      </w:r>
      <w:r>
        <w:t xml:space="preserve"> </w:t>
      </w:r>
      <w:r>
        <w:rPr>
          <w:b/>
          <w:bCs/>
        </w:rPr>
        <w:t xml:space="preserve">Предложение проекта:</w:t>
      </w:r>
      <w:r>
        <w:t xml:space="preserve"> </w:t>
      </w:r>
      <w:r>
        <w:t xml:space="preserve">функция сообщает позицию чтения. Нарушение при недоступных командах или непрошеном конфликте.</w:t>
      </w:r>
    </w:p>
    <w:p>
      <w:pPr>
        <w:pStyle w:val="Compact"/>
        <w:numPr>
          <w:ilvl w:val="0"/>
          <w:numId w:val="1030"/>
        </w:numPr>
      </w:pPr>
      <w:r>
        <w:rPr>
          <w:b/>
          <w:bCs/>
        </w:rPr>
        <w:t xml:space="preserve">NA/не проверено:</w:t>
      </w:r>
      <w:r>
        <w:t xml:space="preserve"> </w:t>
      </w:r>
      <w:r>
        <w:t xml:space="preserve">NA при отсутствии функции; ее отсутствие само по себе не является нарушением; не проверено без тестового содержимого.</w:t>
      </w:r>
    </w:p>
    <w:p>
      <w:pPr>
        <w:pStyle w:val="Compact"/>
        <w:numPr>
          <w:ilvl w:val="0"/>
          <w:numId w:val="1030"/>
        </w:numPr>
      </w:pPr>
      <w:r>
        <w:rPr>
          <w:b/>
          <w:bCs/>
        </w:rPr>
        <w:t xml:space="preserve">Минимальное доказательство:</w:t>
      </w:r>
      <w:r>
        <w:t xml:space="preserve"> </w:t>
      </w:r>
      <w:r>
        <w:t xml:space="preserve">ссылка на документацию, последовательность клавиш и запись результата в обеих конфигурациях.</w:t>
      </w:r>
    </w:p>
    <w:p>
      <w:pPr>
        <w:pStyle w:val="Compact"/>
        <w:numPr>
          <w:ilvl w:val="0"/>
          <w:numId w:val="1030"/>
        </w:numPr>
      </w:pPr>
      <w:r>
        <w:rPr>
          <w:b/>
          <w:bCs/>
        </w:rPr>
        <w:t xml:space="preserve">Нормативная ссылка:</w:t>
      </w:r>
      <w:r>
        <w:t xml:space="preserve"> </w:t>
      </w:r>
      <w:hyperlink r:id="rId20">
        <w:r>
          <w:rPr>
            <w:rStyle w:val="Hyperlink"/>
          </w:rPr>
          <w:t xml:space="preserve">EN 301 549 V4.1.1, 11.2.1.1, 11.5.2, 11.6.2, 12.3</w:t>
        </w:r>
      </w:hyperlink>
      <w:r>
        <w:t xml:space="preserve">.</w:t>
      </w:r>
    </w:p>
    <w:p>
      <w:pPr>
        <w:pStyle w:val="Compact"/>
        <w:numPr>
          <w:ilvl w:val="0"/>
          <w:numId w:val="1030"/>
        </w:numPr>
      </w:pPr>
      <w:r>
        <w:rPr>
          <w:b/>
          <w:bCs/>
        </w:rPr>
        <w:t xml:space="preserve">Граница проекта:</w:t>
      </w:r>
      <w:r>
        <w:t xml:space="preserve"> </w:t>
      </w:r>
      <w:r>
        <w:t xml:space="preserve">наличие встроенного чтения не является универсальным требованием и не заменяет совместимость с программой экранного доступа. Сообщение позиции чтения является</w:t>
      </w:r>
      <w:r>
        <w:t xml:space="preserve"> </w:t>
      </w:r>
      <w:r>
        <w:rPr>
          <w:b/>
          <w:bCs/>
        </w:rPr>
        <w:t xml:space="preserve">Предложением проекта</w:t>
      </w:r>
      <w:r>
        <w:t xml:space="preserve">.</w:t>
      </w:r>
    </w:p>
    <w:bookmarkEnd w:id="59"/>
    <w:bookmarkEnd w:id="60"/>
    <w:sectPr>
      <w:footerReference r:id="rId9" w:type="default"/>
      <w:footnotePr>
        <w:numRestart w:val="eachSect"/>
      </w:footnotePr>
      <w:pgSz w:h="16838" w:w="11906"/>
      <w:pgMar w:bottom="1134" w:footer="709" w:gutter="0" w:header="709"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fldChar w:fldCharType="begin"/>
    </w:r>
    <w:r>
      <w:rPr>
        <w:rFonts w:ascii="Arial" w:hAnsi="Arial"/>
        <w:sz w:val="20"/>
      </w:rPr>
      <w:instrText xml:space="preserve"> PAGE  \* MERGEFORMAT </w:instrText>
    </w:r>
    <w:r>
      <w:rPr>
        <w:rFonts w:ascii="Arial" w:hAnsi="Arial"/>
        <w:sz w:val="20"/>
      </w:rPr>
      <w:fldChar w:fldCharType="separate"/>
    </w:r>
    <w:r>
      <w:rPr>
        <w:rFonts w:ascii="Arial" w:hAnsi="Arial"/>
        <w:sz w:val="20"/>
      </w:rPr>
      <w:t>1</w:t>
    </w:r>
    <w:r>
      <w:rPr>
        <w:rFonts w:ascii="Arial" w:hAnsi="Arial"/>
        <w:sz w:val="20"/>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cs="Arial" w:eastAsia="Arial" w:hAnsi="Arial"/>
        <w:sz w:val="24"/>
        <w:szCs w:val="24"/>
        <w:lang w:bidi="ar-SA" w:eastAsia="ru-RU" w:val="ru-RU"/>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Arial" w:cs="Arial" w:eastAsia="Arial" w:hAnsi="Arial"/>
      <w:sz w:val="22"/>
      <w:lang w:bidi="ar-SA" w:eastAsia="ru-RU" w:val="ru-RU"/>
    </w:rPr>
  </w:style>
  <w:style w:styleId="BodyText" w:type="paragraph">
    <w:name w:val="Body Text"/>
    <w:basedOn w:val="Normal"/>
    <w:link w:val="BodyTextChar"/>
    <w:qFormat/>
    <w:pPr>
      <w:spacing w:after="120" w:before="180" w:line="276" w:lineRule="auto"/>
    </w:pPr>
    <w:rPr>
      <w:rFonts w:ascii="Arial" w:cs="Arial" w:eastAsia="Arial" w:hAnsi="Arial"/>
      <w:sz w:val="22"/>
      <w:lang w:bidi="ar-SA" w:eastAsia="ru-RU" w:val="ru-RU"/>
    </w:rPr>
  </w:style>
  <w:style w:customStyle="1" w:styleId="FirstParagraph" w:type="paragraph">
    <w:name w:val="First Paragraph"/>
    <w:basedOn w:val="BodyText"/>
    <w:next w:val="BodyText"/>
    <w:qFormat/>
    <w:pPr>
      <w:spacing w:after="120" w:line="276" w:lineRule="auto"/>
    </w:pPr>
    <w:rPr>
      <w:rFonts w:ascii="Arial" w:cs="Arial" w:eastAsia="Arial" w:hAnsi="Arial"/>
      <w:sz w:val="22"/>
      <w:lang w:bidi="ar-SA" w:eastAsia="ru-RU" w:val="ru-RU"/>
    </w:rPr>
  </w:style>
  <w:style w:customStyle="1" w:styleId="Compact" w:type="paragraph">
    <w:name w:val="Compact"/>
    <w:basedOn w:val="BodyText"/>
    <w:qFormat/>
    <w:pPr>
      <w:spacing w:after="120" w:before="36" w:line="276" w:lineRule="auto"/>
    </w:pPr>
    <w:rPr>
      <w:rFonts w:ascii="Arial" w:cs="Arial" w:eastAsia="Arial" w:hAnsi="Arial"/>
      <w:sz w:val="22"/>
      <w:lang w:bidi="ar-SA" w:eastAsia="ru-RU" w:val="ru-RU"/>
    </w:rPr>
  </w:style>
  <w:style w:styleId="Title" w:type="paragraph">
    <w:name w:val="Title"/>
    <w:basedOn w:val="Normal"/>
    <w:next w:val="BodyText"/>
    <w:link w:val="TitleChar"/>
    <w:uiPriority w:val="10"/>
    <w:qFormat/>
    <w:rsid w:val="00A10FD9"/>
    <w:pPr>
      <w:spacing w:after="120" w:line="240" w:lineRule="auto"/>
      <w:contextualSpacing/>
      <w:jc w:val="center"/>
    </w:pPr>
    <w:rPr>
      <w:rFonts w:ascii="Arial" w:cs="Arial" w:eastAsia="Arial" w:hAnsi="Arial"/>
      <w:b/>
      <w:color w:val="12233B"/>
      <w:sz w:val="52"/>
      <w:szCs w:val="56"/>
      <w:lang w:bidi="ar-SA" w:eastAsia="ru-RU" w:val="ru-RU"/>
    </w:rPr>
  </w:style>
  <w:style w:customStyle="1" w:styleId="TitleChar" w:type="character">
    <w:name w:val="Title Char"/>
    <w:basedOn w:val="DefaultParagraphFont"/>
    <w:link w:val="Title"/>
    <w:uiPriority w:val="10"/>
    <w:rsid w:val="00A10FD9"/>
    <w:rPr>
      <w:rFonts/>
      <w:sz w:val="56"/>
      <w:szCs w:val="56"/>
    </w:rPr>
  </w:style>
  <w:style w:styleId="Subtitle" w:type="paragraph">
    <w:name w:val="Subtitle"/>
    <w:basedOn w:val="Title"/>
    <w:next w:val="BodyText"/>
    <w:link w:val="SubtitleChar"/>
    <w:uiPriority w:val="11"/>
    <w:qFormat/>
    <w:rsid w:val="00A10FD9"/>
    <w:pPr>
      <w:numPr>
        <w:ilvl w:val="1"/>
      </w:numPr>
      <w:spacing w:after="40"/>
      <w:jc w:val="center"/>
    </w:pPr>
    <w:rPr>
      <w:rFonts w:ascii="Arial" w:cs="Arial" w:eastAsia="Arial" w:hAnsi="Arial"/>
      <w:b w:val="0"/>
      <w:color w:val="12233B"/>
      <w:spacing w:val="15"/>
      <w:sz w:val="28"/>
      <w:szCs w:val="28"/>
      <w:lang w:bidi="ar-SA" w:eastAsia="ru-RU" w:val="ru-RU"/>
    </w:rPr>
  </w:style>
  <w:style w:customStyle="1" w:styleId="SubtitleChar" w:type="character">
    <w:name w:val="Subtitle Char"/>
    <w:basedOn w:val="DefaultParagraphFont"/>
    <w:link w:val="Subtitle"/>
    <w:uiPriority w:val="11"/>
    <w:rsid w:val="00A10FD9"/>
    <w:rPr>
      <w:rFonts/>
      <w:color w:themeColor="text1" w:themeTint="A6" w:val="595959"/>
      <w:spacing w:val="15"/>
      <w:sz w:val="28"/>
      <w:szCs w:val="28"/>
    </w:rPr>
  </w:style>
  <w:style w:customStyle="1" w:styleId="Author" w:type="paragraph">
    <w:name w:val="Author"/>
    <w:basedOn w:val="Title"/>
    <w:next w:val="BodyText"/>
    <w:qFormat/>
    <w:pPr>
      <w:keepNext/>
      <w:keepLines/>
      <w:jc w:val="center"/>
    </w:pPr>
    <w:rPr>
      <w:rFonts w:ascii="Arial" w:cs="Arial" w:eastAsia="Arial" w:hAnsi="Arial"/>
      <w:sz w:val="24"/>
      <w:szCs w:val="24"/>
      <w:lang w:bidi="ar-SA" w:eastAsia="ru-RU" w:val="ru-RU"/>
    </w:rPr>
  </w:style>
  <w:style w:styleId="Date" w:type="paragraph">
    <w:name w:val="Date"/>
    <w:basedOn w:val="Title"/>
    <w:next w:val="BodyText"/>
    <w:qFormat/>
    <w:pPr>
      <w:keepNext/>
      <w:keepLines/>
      <w:spacing w:after="480"/>
      <w:jc w:val="center"/>
    </w:pPr>
    <w:rPr>
      <w:rFonts w:ascii="Arial" w:cs="Arial" w:eastAsia="Arial" w:hAnsi="Arial"/>
      <w:b w:val="0"/>
      <w:color w:val="404040"/>
      <w:sz w:val="24"/>
      <w:szCs w:val="24"/>
      <w:lang w:bidi="ar-SA" w:eastAsia="ru-RU" w:val="ru-RU"/>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120" w:before="240" w:line="276" w:lineRule="auto"/>
      <w:outlineLvl w:val="0"/>
    </w:pPr>
    <w:rPr>
      <w:rFonts w:ascii="Arial" w:cs="Arial" w:eastAsia="Arial" w:hAnsi="Arial"/>
      <w:b/>
      <w:color w:val="12233B"/>
      <w:sz w:val="32"/>
      <w:szCs w:val="40"/>
      <w:lang w:bidi="ar-SA" w:eastAsia="ru-RU" w:val="ru-RU"/>
    </w:rPr>
  </w:style>
  <w:style w:styleId="Heading2" w:type="paragraph">
    <w:name w:val="heading 2"/>
    <w:basedOn w:val="Normal"/>
    <w:next w:val="BodyText"/>
    <w:link w:val="Heading2Char"/>
    <w:uiPriority w:val="9"/>
    <w:semiHidden/>
    <w:unhideWhenUsed/>
    <w:qFormat/>
    <w:rsid w:val="00A10FD9"/>
    <w:pPr>
      <w:keepNext/>
      <w:keepLines/>
      <w:spacing w:after="120" w:before="240" w:line="276" w:lineRule="auto"/>
      <w:outlineLvl w:val="1"/>
    </w:pPr>
    <w:rPr>
      <w:rFonts w:ascii="Arial" w:cs="Arial" w:eastAsia="Arial" w:hAnsi="Arial"/>
      <w:b/>
      <w:color w:val="12233B"/>
      <w:sz w:val="28"/>
      <w:szCs w:val="32"/>
      <w:lang w:bidi="ar-SA" w:eastAsia="ru-RU" w:val="ru-RU"/>
    </w:rPr>
  </w:style>
  <w:style w:styleId="Heading3" w:type="paragraph">
    <w:name w:val="heading 3"/>
    <w:basedOn w:val="Normal"/>
    <w:next w:val="BodyText"/>
    <w:link w:val="Heading3Char"/>
    <w:uiPriority w:val="9"/>
    <w:semiHidden/>
    <w:unhideWhenUsed/>
    <w:qFormat/>
    <w:rsid w:val="00A10FD9"/>
    <w:pPr>
      <w:keepNext/>
      <w:keepLines/>
      <w:spacing w:after="120" w:before="240" w:line="276" w:lineRule="auto"/>
      <w:outlineLvl w:val="2"/>
    </w:pPr>
    <w:rPr>
      <w:rFonts w:ascii="Arial" w:cs="Arial" w:eastAsia="Arial" w:hAnsi="Arial"/>
      <w:b/>
      <w:color w:val="12233B"/>
      <w:sz w:val="24"/>
      <w:szCs w:val="28"/>
      <w:lang w:bidi="ar-SA" w:eastAsia="ru-RU" w:val="ru-RU"/>
    </w:rPr>
  </w:style>
  <w:style w:styleId="Heading4" w:type="paragraph">
    <w:name w:val="heading 4"/>
    <w:basedOn w:val="Normal"/>
    <w:next w:val="BodyText"/>
    <w:link w:val="Heading4Char"/>
    <w:uiPriority w:val="9"/>
    <w:semiHidden/>
    <w:unhideWhenUsed/>
    <w:qFormat/>
    <w:rsid w:val="00A10FD9"/>
    <w:pPr>
      <w:keepNext/>
      <w:keepLines/>
      <w:spacing w:after="120" w:before="200" w:line="276" w:lineRule="auto"/>
      <w:outlineLvl w:val="3"/>
    </w:pPr>
    <w:rPr>
      <w:rFonts w:ascii="Arial" w:cs="Arial" w:eastAsia="Arial" w:hAnsi="Arial"/>
      <w:b/>
      <w:i/>
      <w:iCs/>
      <w:color w:val="12233B"/>
      <w:sz w:val="24"/>
      <w:lang w:bidi="ar-SA" w:eastAsia="ru-RU" w:val="ru-RU"/>
    </w:rPr>
  </w:style>
  <w:style w:styleId="Heading5" w:type="paragraph">
    <w:name w:val="heading 5"/>
    <w:basedOn w:val="Normal"/>
    <w:next w:val="BodyText"/>
    <w:link w:val="Heading5Char"/>
    <w:uiPriority w:val="9"/>
    <w:semiHidden/>
    <w:unhideWhenUsed/>
    <w:qFormat/>
    <w:rsid w:val="00A10FD9"/>
    <w:pPr>
      <w:keepNext/>
      <w:keepLines/>
      <w:spacing w:after="120" w:before="200" w:line="276" w:lineRule="auto"/>
      <w:outlineLvl w:val="4"/>
    </w:pPr>
    <w:rPr>
      <w:rFonts w:ascii="Arial" w:cs="Arial" w:eastAsia="Arial" w:hAnsi="Arial"/>
      <w:b/>
      <w:color w:val="12233B"/>
      <w:sz w:val="22"/>
      <w:lang w:bidi="ar-SA" w:eastAsia="ru-RU" w:val="ru-RU"/>
    </w:rPr>
  </w:style>
  <w:style w:styleId="Heading6" w:type="paragraph">
    <w:name w:val="heading 6"/>
    <w:basedOn w:val="Normal"/>
    <w:next w:val="BodyText"/>
    <w:link w:val="Heading6Char"/>
    <w:uiPriority w:val="9"/>
    <w:semiHidden/>
    <w:unhideWhenUsed/>
    <w:qFormat/>
    <w:rsid w:val="00A10FD9"/>
    <w:pPr>
      <w:keepNext/>
      <w:keepLines/>
      <w:spacing w:after="120" w:before="200" w:line="276" w:lineRule="auto"/>
      <w:outlineLvl w:val="5"/>
    </w:pPr>
    <w:rPr>
      <w:rFonts w:ascii="Arial" w:cs="Arial" w:eastAsia="Arial" w:hAnsi="Arial"/>
      <w:b/>
      <w:i/>
      <w:iCs/>
      <w:color w:val="12233B"/>
      <w:sz w:val="22"/>
      <w:lang w:bidi="ar-SA" w:eastAsia="ru-RU" w:val="ru-RU"/>
    </w:rPr>
  </w:style>
  <w:style w:styleId="Heading7" w:type="paragraph">
    <w:name w:val="heading 7"/>
    <w:basedOn w:val="Normal"/>
    <w:next w:val="BodyText"/>
    <w:link w:val="Heading7Char"/>
    <w:uiPriority w:val="9"/>
    <w:semiHidden/>
    <w:unhideWhenUsed/>
    <w:qFormat/>
    <w:rsid w:val="00A10FD9"/>
    <w:pPr>
      <w:keepNext/>
      <w:keepLines/>
      <w:spacing w:after="120" w:before="200" w:line="276" w:lineRule="auto"/>
      <w:outlineLvl w:val="6"/>
    </w:pPr>
    <w:rPr>
      <w:rFonts w:ascii="Arial" w:cs="Arial" w:eastAsia="Arial" w:hAnsi="Arial"/>
      <w:b/>
      <w:color w:val="12233B"/>
      <w:sz w:val="22"/>
      <w:lang w:bidi="ar-SA" w:eastAsia="ru-RU" w:val="ru-RU"/>
    </w:rPr>
  </w:style>
  <w:style w:styleId="Heading8" w:type="paragraph">
    <w:name w:val="heading 8"/>
    <w:basedOn w:val="Normal"/>
    <w:next w:val="BodyText"/>
    <w:link w:val="Heading8Char"/>
    <w:uiPriority w:val="9"/>
    <w:semiHidden/>
    <w:unhideWhenUsed/>
    <w:qFormat/>
    <w:rsid w:val="00A10FD9"/>
    <w:pPr>
      <w:keepNext/>
      <w:keepLines/>
      <w:spacing w:after="120" w:before="200" w:line="276" w:lineRule="auto"/>
      <w:outlineLvl w:val="7"/>
    </w:pPr>
    <w:rPr>
      <w:rFonts w:ascii="Arial" w:cs="Arial" w:eastAsia="Arial" w:hAnsi="Arial"/>
      <w:b/>
      <w:i/>
      <w:iCs/>
      <w:color w:val="12233B"/>
      <w:sz w:val="22"/>
      <w:lang w:bidi="ar-SA" w:eastAsia="ru-RU" w:val="ru-RU"/>
    </w:rPr>
  </w:style>
  <w:style w:styleId="Heading9" w:type="paragraph">
    <w:name w:val="heading 9"/>
    <w:basedOn w:val="Normal"/>
    <w:next w:val="BodyText"/>
    <w:link w:val="Heading9Char"/>
    <w:uiPriority w:val="9"/>
    <w:semiHidden/>
    <w:unhideWhenUsed/>
    <w:qFormat/>
    <w:rsid w:val="00A10FD9"/>
    <w:pPr>
      <w:keepNext/>
      <w:keepLines/>
      <w:spacing w:after="120" w:before="200" w:line="276" w:lineRule="auto"/>
      <w:outlineLvl w:val="8"/>
    </w:pPr>
    <w:rPr>
      <w:rFonts w:ascii="Arial" w:cs="Arial" w:eastAsia="Arial" w:hAnsi="Arial"/>
      <w:b/>
      <w:color w:val="12233B"/>
      <w:sz w:val="22"/>
      <w:lang w:bidi="ar-SA" w:eastAsia="ru-RU" w:val="ru-RU"/>
    </w:rPr>
  </w:style>
  <w:style w:customStyle="1" w:styleId="Heading1Char" w:type="character">
    <w:name w:val="Heading 1 Char"/>
    <w:basedOn w:val="DefaultParagraphFont"/>
    <w:link w:val="Heading1"/>
    <w:uiPriority w:val="9"/>
    <w:rsid w:val="00A10FD9"/>
    <w:rPr>
      <w:rFonts/>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i/>
      <w:iCs/>
      <w:color w:themeColor="accent1" w:themeShade="BF" w:val="0F4761"/>
    </w:rPr>
  </w:style>
  <w:style w:customStyle="1" w:styleId="Heading5Char" w:type="character">
    <w:name w:val="Heading 5 Char"/>
    <w:basedOn w:val="DefaultParagraphFont"/>
    <w:link w:val="Heading5"/>
    <w:uiPriority w:val="9"/>
    <w:semiHidden/>
    <w:rsid w:val="00A10FD9"/>
    <w:rPr>
      <w:rFonts/>
      <w:color w:themeColor="accent1" w:themeShade="BF" w:val="0F4761"/>
    </w:rPr>
  </w:style>
  <w:style w:customStyle="1" w:styleId="Heading6Char" w:type="character">
    <w:name w:val="Heading 6 Char"/>
    <w:basedOn w:val="DefaultParagraphFont"/>
    <w:link w:val="Heading6"/>
    <w:uiPriority w:val="9"/>
    <w:semiHidden/>
    <w:rsid w:val="00A10FD9"/>
    <w:rPr>
      <w:rFonts/>
      <w:i/>
      <w:iCs/>
      <w:color w:themeColor="text1" w:themeTint="A6" w:val="595959"/>
    </w:rPr>
  </w:style>
  <w:style w:customStyle="1" w:styleId="Heading7Char" w:type="character">
    <w:name w:val="Heading 7 Char"/>
    <w:basedOn w:val="DefaultParagraphFont"/>
    <w:link w:val="Heading7"/>
    <w:uiPriority w:val="9"/>
    <w:semiHidden/>
    <w:rsid w:val="00A10FD9"/>
    <w:rPr>
      <w:rFonts/>
      <w:color w:themeColor="text1" w:themeTint="A6" w:val="595959"/>
    </w:rPr>
  </w:style>
  <w:style w:customStyle="1" w:styleId="Heading8Char" w:type="character">
    <w:name w:val="Heading 8 Char"/>
    <w:basedOn w:val="DefaultParagraphFont"/>
    <w:link w:val="Heading8"/>
    <w:uiPriority w:val="9"/>
    <w:semiHidden/>
    <w:rsid w:val="00A10FD9"/>
    <w:rPr>
      <w:rFonts/>
      <w:i/>
      <w:iCs/>
      <w:color w:themeColor="text1" w:themeTint="D8" w:val="272727"/>
    </w:rPr>
  </w:style>
  <w:style w:customStyle="1" w:styleId="Heading9Char" w:type="character">
    <w:name w:val="Heading 9 Char"/>
    <w:basedOn w:val="DefaultParagraphFont"/>
    <w:link w:val="Heading9"/>
    <w:uiPriority w:val="9"/>
    <w:semiHidden/>
    <w:rsid w:val="00A10FD9"/>
    <w:rPr>
      <w:rFonts/>
      <w:color w:themeColor="text1" w:themeTint="D8" w:val="272727"/>
    </w:rPr>
  </w:style>
  <w:style w:styleId="BlockText" w:type="paragraph">
    <w:name w:val="Block Text"/>
    <w:basedOn w:val="BodyText"/>
    <w:next w:val="BodyText"/>
    <w:uiPriority w:val="9"/>
    <w:unhideWhenUsed/>
    <w:qFormat/>
    <w:pPr>
      <w:spacing w:after="120" w:before="100" w:line="276" w:lineRule="auto"/>
      <w:ind w:firstLine="0" w:left="480" w:right="480"/>
    </w:pPr>
    <w:rPr>
      <w:rFonts w:ascii="Arial" w:cs="Arial" w:eastAsia="Arial" w:hAnsi="Arial"/>
      <w:sz w:val="22"/>
      <w:lang w:bidi="ar-SA" w:eastAsia="ru-RU" w:val="ru-RU"/>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pPr>
      <w:spacing w:after="60" w:line="276" w:lineRule="auto"/>
    </w:pPr>
    <w:rPr>
      <w:rFonts w:ascii="Arial" w:cs="Arial" w:eastAsia="Arial" w:hAnsi="Arial"/>
      <w:sz w:val="22"/>
      <w:lang w:bidi="ar-SA" w:eastAsia="ru-RU" w:val="ru-RU"/>
    </w:rPr>
    <w:tblPr>
      <w:tblInd w:type="dxa" w:w="0"/>
      <w:tblBorders>
        <w:top w:color="999999" w:space="0" w:sz="4" w:val="single"/>
        <w:left w:color="999999" w:space="0" w:sz="4" w:val="single"/>
        <w:bottom w:color="999999" w:space="0" w:sz="4" w:val="single"/>
        <w:right w:color="999999" w:space="0" w:sz="4" w:val="single"/>
        <w:insideH w:color="999999" w:space="0" w:sz="4" w:val="single"/>
        <w:insideV w:color="999999" w:space="0" w:sz="4" w:val="single"/>
      </w:tblBorders>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120" w:line="276" w:lineRule="auto"/>
    </w:pPr>
    <w:rPr>
      <w:rFonts w:ascii="Arial" w:cs="Arial" w:eastAsia="Arial" w:hAnsi="Arial"/>
      <w:b/>
      <w:sz w:val="22"/>
      <w:lang w:bidi="ar-SA" w:eastAsia="ru-RU" w:val="ru-RU"/>
    </w:rPr>
  </w:style>
  <w:style w:customStyle="1" w:styleId="Definition" w:type="paragraph">
    <w:name w:val="Definition"/>
    <w:basedOn w:val="Normal"/>
    <w:pPr>
      <w:spacing w:after="120" w:line="276" w:lineRule="auto"/>
    </w:pPr>
    <w:rPr>
      <w:rFonts w:ascii="Arial" w:cs="Arial" w:eastAsia="Arial" w:hAnsi="Arial"/>
      <w:sz w:val="22"/>
      <w:lang w:bidi="ar-SA" w:eastAsia="ru-RU" w:val="ru-RU"/>
    </w:rPr>
  </w:style>
  <w:style w:styleId="Caption" w:type="paragraph">
    <w:name w:val="Caption"/>
    <w:basedOn w:val="Normal"/>
    <w:link w:val="BodyTextChar"/>
    <w:pPr>
      <w:spacing w:after="120" w:before="0" w:line="276" w:lineRule="auto"/>
    </w:pPr>
    <w:rPr>
      <w:rFonts w:ascii="Arial" w:cs="Arial" w:eastAsia="Arial" w:hAnsi="Arial"/>
      <w:i/>
      <w:sz w:val="22"/>
      <w:lang w:bidi="ar-SA" w:eastAsia="ru-RU" w:val="ru-RU"/>
    </w:rPr>
  </w:style>
  <w:style w:customStyle="1" w:styleId="TableCaption" w:type="paragraph">
    <w:name w:val="Table Caption"/>
    <w:basedOn w:val="Caption"/>
    <w:pPr>
      <w:keepNext/>
      <w:spacing w:after="120" w:line="276" w:lineRule="auto"/>
    </w:pPr>
    <w:rPr>
      <w:rFonts w:ascii="Arial" w:cs="Arial" w:eastAsia="Arial" w:hAnsi="Arial"/>
      <w:sz w:val="22"/>
      <w:lang w:bidi="ar-SA" w:eastAsia="ru-RU" w:val="ru-RU"/>
    </w:rPr>
  </w:style>
  <w:style w:customStyle="1" w:styleId="ImageCaption" w:type="paragraph">
    <w:name w:val="Image Caption"/>
    <w:basedOn w:val="Caption"/>
    <w:pPr>
      <w:spacing w:after="120" w:line="276" w:lineRule="auto"/>
    </w:pPr>
    <w:rPr>
      <w:rFonts w:ascii="Arial" w:cs="Arial" w:eastAsia="Arial" w:hAnsi="Arial"/>
      <w:sz w:val="22"/>
      <w:lang w:bidi="ar-SA" w:eastAsia="ru-RU" w:val="ru-RU"/>
    </w:rPr>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rFonts w:ascii="Arial" w:cs="Arial" w:eastAsia="Arial" w:hAnsi="Arial"/>
      <w:color w:val="004A8F"/>
      <w:sz w:val="22"/>
      <w:lang w:bidi="ar-SA" w:eastAsia="ru-RU" w:val="ru-RU"/>
    </w:rPr>
  </w:style>
  <w:style w:styleId="TOCHeading" w:type="paragraph">
    <w:name w:val="TOC Heading"/>
    <w:basedOn w:val="Heading1"/>
    <w:next w:val="BodyText"/>
    <w:uiPriority w:val="39"/>
    <w:unhideWhenUsed/>
    <w:qFormat/>
    <w:pPr>
      <w:spacing w:before="240" w:line="259" w:lineRule="auto"/>
      <w:outlineLvl w:val="9"/>
    </w:pPr>
    <w:rPr>
      <w:rFonts w:ascii="Arial" w:cs="Arial" w:eastAsia="Arial" w:hAnsi="Arial"/>
      <w:b/>
      <w:bCs w:val="0"/>
      <w:color w:val="12233B"/>
      <w:sz w:val="28"/>
      <w:lang w:bidi="ar-SA" w:eastAsia="ru-RU" w:val="ru-RU"/>
    </w:rPr>
  </w:style>
  <w:style w:customStyle="1" w:styleId="TOC1" w:type="paragraph">
    <w:name w:val="TOC 1"/>
    <w:basedOn w:val="Normal"/>
    <w:pPr>
      <w:tabs>
        <w:tab w:leader="dot" w:pos="9638" w:val="right"/>
      </w:tabs>
      <w:spacing w:after="40" w:before="0" w:line="276" w:lineRule="auto"/>
      <w:ind w:left="0"/>
    </w:pPr>
    <w:rPr>
      <w:rFonts w:ascii="Arial" w:cs="Arial" w:eastAsia="Arial" w:hAnsi="Arial"/>
      <w:b/>
      <w:sz w:val="22"/>
      <w:lang w:bidi="ar-SA" w:eastAsia="ru-RU" w:val="ru-RU"/>
    </w:rPr>
  </w:style>
  <w:style w:customStyle="1" w:styleId="TOC2" w:type="paragraph">
    <w:name w:val="TOC 2"/>
    <w:basedOn w:val="Normal"/>
    <w:pPr>
      <w:tabs>
        <w:tab w:leader="dot" w:pos="9638" w:val="right"/>
      </w:tabs>
      <w:spacing w:after="40" w:before="0" w:line="276" w:lineRule="auto"/>
      <w:ind w:left="283"/>
    </w:pPr>
    <w:rPr>
      <w:rFonts w:ascii="Arial" w:cs="Arial" w:eastAsia="Arial" w:hAnsi="Arial"/>
      <w:b w:val="0"/>
      <w:sz w:val="22"/>
      <w:lang w:bidi="ar-SA" w:eastAsia="ru-RU" w:val="ru-RU"/>
    </w:rPr>
  </w:style>
  <w:style w:customStyle="1" w:styleId="TOC3" w:type="paragraph">
    <w:name w:val="TOC 3"/>
    <w:basedOn w:val="Normal"/>
    <w:pPr>
      <w:tabs>
        <w:tab w:leader="dot" w:pos="9638" w:val="right"/>
      </w:tabs>
      <w:spacing w:after="40" w:before="0" w:line="276" w:lineRule="auto"/>
      <w:ind w:left="567"/>
    </w:pPr>
    <w:rPr>
      <w:rFonts w:ascii="Arial" w:cs="Arial" w:eastAsia="Arial" w:hAnsi="Arial"/>
      <w:b w:val="0"/>
      <w:sz w:val="22"/>
      <w:lang w:bidi="ar-SA" w:eastAsia="ru-RU" w:val="ru-RU"/>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7" Type="http://schemas.openxmlformats.org/officeDocument/2006/relationships/numbering" Target="numbering.xml"/><Relationship Id="rId16" Type="http://schemas.openxmlformats.org/officeDocument/2006/relationships/styles" Target="styles.xml"/><Relationship Id="rId15" Type="http://schemas.openxmlformats.org/officeDocument/2006/relationships/settings" Target="settings.xml"/><Relationship Id="rId14" Type="http://schemas.openxmlformats.org/officeDocument/2006/relationships/webSettings" Target="webSettings.xml"/><Relationship Id="rId13" Type="http://schemas.openxmlformats.org/officeDocument/2006/relationships/fontTable" Target="fontTable.xml"/><Relationship Id="rId12" Type="http://schemas.openxmlformats.org/officeDocument/2006/relationships/theme" Target="theme/theme1.xml"/><Relationship Id="rId11" Type="http://schemas.openxmlformats.org/officeDocument/2006/relationships/footnotes" Target="footnotes.xml"/><Relationship Id="rId10" Type="http://schemas.openxmlformats.org/officeDocument/2006/relationships/comments" Target="comments.xml"/><Relationship Id="rId9" Type="http://schemas.openxmlformats.org/officeDocument/2006/relationships/footer" Target="footer1.xml"/><Relationship Id="rId56" Type="http://schemas.openxmlformats.org/officeDocument/2006/relationships/hyperlink" Target="https://protect.gost.ru/gost/details/083ccfc7-6861-42d0-9861-011a7958fc71" TargetMode="External"/><Relationship Id="rId20" Type="http://schemas.openxmlformats.org/officeDocument/2006/relationships/hyperlink" Target="https://www.etsi.org/deliver/etsi_en/301500_301599/301549/04.01.01_60/en_301549v040101p.pdf" TargetMode="External"/><Relationship Id="rId37" Type="http://schemas.openxmlformats.org/officeDocument/2006/relationships/hyperlink" Target="https://www.w3.org/TR/WCAG22/#character-key-shortcuts" TargetMode="External"/><Relationship Id="rId39" Type="http://schemas.openxmlformats.org/officeDocument/2006/relationships/hyperlink" Target="https://www.w3.org/TR/WCAG22/#dragging-movements" TargetMode="External"/><Relationship Id="rId24" Type="http://schemas.openxmlformats.org/officeDocument/2006/relationships/hyperlink" Target="https://www.w3.org/TR/WCAG22/#keyboard" TargetMode="External"/><Relationship Id="rId21" Type="http://schemas.openxmlformats.org/officeDocument/2006/relationships/hyperlink" Target="https://www.w3.org/TR/WCAG22/#name-role-value" TargetMode="External"/><Relationship Id="rId25" Type="http://schemas.openxmlformats.org/officeDocument/2006/relationships/hyperlink" Target="https://www.w3.org/TR/WCAG22/#no-keyboard-trap" TargetMode="External"/><Relationship Id="rId33" Type="http://schemas.openxmlformats.org/officeDocument/2006/relationships/hyperlink" Target="https://www.w3.org/TR/WCAG22/#resize-text" TargetMode="External"/><Relationship Id="rId30" Type="http://schemas.openxmlformats.org/officeDocument/2006/relationships/hyperlink" Target="https://www.w3.org/TR/WCAG22/#status-messages" TargetMode="External"/><Relationship Id="rId40" Type="http://schemas.openxmlformats.org/officeDocument/2006/relationships/hyperlink" Target="https://www.w3.org/TR/WCAG22/#target-size-minimum" TargetMode="External"/><Relationship Id="rId35" Type="http://schemas.openxmlformats.org/officeDocument/2006/relationships/hyperlink" Target="https://www.w3.org/TR/WCAG22/#use-of-color" TargetMode="External"/><Relationship Id="rId18" Type="http://schemas.openxmlformats.org/officeDocument/2006/relationships/hyperlink" Target="metodika-ocenki.docx" TargetMode="External"/></Relationships>
</file>

<file path=word/_rels/footnotes.xml.rels><?xml version='1.0' encoding='UTF-8' standalone='yes'?>
<Relationships xmlns="http://schemas.openxmlformats.org/package/2006/relationships"><Relationship Id="rId56" Type="http://schemas.openxmlformats.org/officeDocument/2006/relationships/hyperlink" Target="https://protect.gost.ru/gost/details/083ccfc7-6861-42d0-9861-011a7958fc71" TargetMode="External"/><Relationship Id="rId20" Type="http://schemas.openxmlformats.org/officeDocument/2006/relationships/hyperlink" Target="https://www.etsi.org/deliver/etsi_en/301500_301599/301549/04.01.01_60/en_301549v040101p.pdf" TargetMode="External"/><Relationship Id="rId37" Type="http://schemas.openxmlformats.org/officeDocument/2006/relationships/hyperlink" Target="https://www.w3.org/TR/WCAG22/#character-key-shortcuts" TargetMode="External"/><Relationship Id="rId39" Type="http://schemas.openxmlformats.org/officeDocument/2006/relationships/hyperlink" Target="https://www.w3.org/TR/WCAG22/#dragging-movements" TargetMode="External"/><Relationship Id="rId24" Type="http://schemas.openxmlformats.org/officeDocument/2006/relationships/hyperlink" Target="https://www.w3.org/TR/WCAG22/#keyboard" TargetMode="External"/><Relationship Id="rId21" Type="http://schemas.openxmlformats.org/officeDocument/2006/relationships/hyperlink" Target="https://www.w3.org/TR/WCAG22/#name-role-value" TargetMode="External"/><Relationship Id="rId25" Type="http://schemas.openxmlformats.org/officeDocument/2006/relationships/hyperlink" Target="https://www.w3.org/TR/WCAG22/#no-keyboard-trap" TargetMode="External"/><Relationship Id="rId33" Type="http://schemas.openxmlformats.org/officeDocument/2006/relationships/hyperlink" Target="https://www.w3.org/TR/WCAG22/#resize-text" TargetMode="External"/><Relationship Id="rId30" Type="http://schemas.openxmlformats.org/officeDocument/2006/relationships/hyperlink" Target="https://www.w3.org/TR/WCAG22/#status-messages" TargetMode="External"/><Relationship Id="rId40" Type="http://schemas.openxmlformats.org/officeDocument/2006/relationships/hyperlink" Target="https://www.w3.org/TR/WCAG22/#target-size-minimum" TargetMode="External"/><Relationship Id="rId35" Type="http://schemas.openxmlformats.org/officeDocument/2006/relationships/hyperlink" Target="https://www.w3.org/TR/WCAG22/#use-of-color" TargetMode="External"/><Relationship Id="rId18" Type="http://schemas.openxmlformats.org/officeDocument/2006/relationships/hyperlink" Target="&#1052;&#1077;&#1090;&#1086;&#1076;&#1086;&#1083;&#1086;&#1075;&#1080;&#1103;_&#1086;&#1094;&#1077;&#1085;&#1082;&#1080;_&#1076;&#1086;&#1089;&#1090;&#1091;&#1087;&#1085;&#1086;&#1089;&#1090;&#1080;_&#1094;&#1080;&#1092;&#1088;&#1086;&#1074;&#1099;&#1093;_&#1088;&#1077;&#1089;&#1091;&#1088;&#1089;&#1086;&#1074;.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0.1</AppVersion>
  <LinksUpToDate>false</LinksUpToDate>
  <Application>Проект «Доступно»</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Протоколы проверок настольного программного обеспечения</dc:title>
  <dc:creator/>
  <dc:language>ru-RU</dc:language>
  <cp:keywords/>
  <dcterms:created xsi:type="dcterms:W3CDTF">2026-09-24T10:52:49Z</dcterms:created>
  <dcterms:modified xsi:type="dcterms:W3CDTF">2026-09-24T10:52:49Z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Сентябрь 2026 года</vt:lpwstr>
  </property>
  <property fmtid="{D5CDD505-2E9C-101B-9397-08002B2CF9AE}" pid="3" name="subtitle">
    <vt:lpwstr>Проект для обсуждения. Редакция 0.1</vt:lpwstr>
  </property>
</Properties>
</file>