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Протоколы проверок мобильных приложений</w:t>
      </w:r>
    </w:p>
    <w:p>
      <w:pPr>
        <w:pStyle w:val="Subtitle"/>
      </w:pPr>
      <w:r>
        <w:t xml:space="preserve">Проект для обсуждения. Редакция 0.1</w:t>
      </w:r>
    </w:p>
    <w:p>
      <w:pPr>
        <w:pStyle w:val="Date"/>
      </w:pPr>
      <w:r>
        <w:t xml:space="preserve">Сентябрь 2026 года</w:t>
      </w:r>
    </w:p>
    <w:sdt>
      <w:sdtPr>
        <w:docPartObj>
          <w:docPartGallery w:val="Table of Contents"/>
          <w:docPartUnique/>
        </w:docPartObj>
      </w:sdtPr>
      <w:sdtContent>
        <w:p>
          <w:pPr>
            <w:pStyle w:val="TOCHeading"/>
          </w:pPr>
          <w:r>
            <w:t xml:space="preserve">Оглавление</w:t>
          </w:r>
        </w:p>
        <w:p>
          <w:r>
            <w:fldChar w:fldCharType="begin"/>
          </w:r>
          <w:r>
            <w:instrText xml:space="preserve">TOC \o "1-3" \h \z \u</w:instrText>
          </w:r>
          <w:r>
            <w:fldChar w:fldCharType="separate"/>
          </w:r>
        </w:p>
        <w:p>
          <w:pPr>
            <w:pStyle w:val="TOC2"/>
            <w:tabs>
              <w:tab w:val="right" w:leader="dot" w:pos="9638"/>
            </w:tabs>
          </w:pPr>
          <w:hyperlink w:anchor="_TocAnchor4_1963" w:history="1">
            <w:r>
              <w:t xml:space="preserve">Зачем нужны протоколы и как ими пользоваться</w:t>
            </w:r>
          </w:hyperlink>
          <w:r>
            <w:tab/>
            <w:t>1</w:t>
          </w:r>
        </w:p>
        <w:p>
          <w:pPr>
            <w:pStyle w:val="TOC2"/>
            <w:tabs>
              <w:tab w:val="right" w:leader="dot" w:pos="9638"/>
            </w:tabs>
          </w:pPr>
          <w:hyperlink w:anchor="_TocAnchor14_1965" w:history="1">
            <w:r>
              <w:t xml:space="preserve">Протоколы</w:t>
            </w:r>
          </w:hyperlink>
          <w:r>
            <w:tab/>
            <w:t>2</w:t>
          </w:r>
        </w:p>
        <w:p>
          <w:pPr>
            <w:pStyle w:val="TOC3"/>
            <w:tabs>
              <w:tab w:val="right" w:leader="dot" w:pos="9638"/>
            </w:tabs>
          </w:pPr>
          <w:hyperlink w:anchor="_TocAnchor15_1967" w:history="1">
            <w:r>
              <w:t xml:space="preserve">В-01. Доступные имя, роль, состояние, значение, связи и действия</w:t>
            </w:r>
          </w:hyperlink>
          <w:r>
            <w:tab/>
            <w:t>2</w:t>
          </w:r>
        </w:p>
        <w:p>
          <w:pPr>
            <w:pStyle w:val="TOC3"/>
            <w:tabs>
              <w:tab w:val="right" w:leader="dot" w:pos="9638"/>
            </w:tabs>
          </w:pPr>
          <w:hyperlink w:anchor="_TocAnchor24_1969" w:history="1">
            <w:r>
              <w:t xml:space="preserve">В-02. Порядок обхода, фокус и виртуализированное содержимое</w:t>
            </w:r>
          </w:hyperlink>
          <w:r>
            <w:tab/>
            <w:t>3</w:t>
          </w:r>
        </w:p>
        <w:p>
          <w:pPr>
            <w:pStyle w:val="TOC3"/>
            <w:tabs>
              <w:tab w:val="right" w:leader="dot" w:pos="9638"/>
            </w:tabs>
          </w:pPr>
          <w:hyperlink w:anchor="_TocAnchor33_1971" w:history="1">
            <w:r>
              <w:t xml:space="preserve">В-03. Сложные жесты и одноточечная альтернатива</w:t>
            </w:r>
          </w:hyperlink>
          <w:r>
            <w:tab/>
            <w:t>3</w:t>
          </w:r>
        </w:p>
        <w:p>
          <w:pPr>
            <w:pStyle w:val="TOC3"/>
            <w:tabs>
              <w:tab w:val="right" w:leader="dot" w:pos="9638"/>
            </w:tabs>
          </w:pPr>
          <w:hyperlink w:anchor="_TocAnchor42_1973" w:history="1">
            <w:r>
              <w:t xml:space="preserve">В-04. Отмена действия указателем</w:t>
            </w:r>
          </w:hyperlink>
          <w:r>
            <w:tab/>
            <w:t>4</w:t>
          </w:r>
        </w:p>
        <w:p>
          <w:pPr>
            <w:pStyle w:val="TOC3"/>
            <w:tabs>
              <w:tab w:val="right" w:leader="dot" w:pos="9638"/>
            </w:tabs>
          </w:pPr>
          <w:hyperlink w:anchor="_TocAnchor51_1975" w:history="1">
            <w:r>
              <w:t xml:space="preserve">В-05. Перетаскивание и альтернатива без перетаскивания</w:t>
            </w:r>
          </w:hyperlink>
          <w:r>
            <w:tab/>
            <w:t>4</w:t>
          </w:r>
        </w:p>
        <w:p>
          <w:pPr>
            <w:pStyle w:val="TOC3"/>
            <w:tabs>
              <w:tab w:val="right" w:leader="dot" w:pos="9638"/>
            </w:tabs>
          </w:pPr>
          <w:hyperlink w:anchor="_TocAnchor60_1977" w:history="1">
            <w:r>
              <w:t xml:space="preserve">В-06. Размер и расстояние целей</w:t>
            </w:r>
          </w:hyperlink>
          <w:r>
            <w:tab/>
            <w:t>5</w:t>
          </w:r>
        </w:p>
        <w:p>
          <w:pPr>
            <w:pStyle w:val="TOC3"/>
            <w:tabs>
              <w:tab w:val="right" w:leader="dot" w:pos="9638"/>
            </w:tabs>
          </w:pPr>
          <w:hyperlink w:anchor="_TocAnchor69_1979" w:history="1">
            <w:r>
              <w:t xml:space="preserve">В-07. Увеличение текста и перекомпоновка</w:t>
            </w:r>
          </w:hyperlink>
          <w:r>
            <w:tab/>
            <w:t>5</w:t>
          </w:r>
        </w:p>
        <w:p>
          <w:pPr>
            <w:pStyle w:val="TOC3"/>
            <w:tabs>
              <w:tab w:val="right" w:leader="dot" w:pos="9638"/>
            </w:tabs>
          </w:pPr>
          <w:hyperlink w:anchor="_TocAnchor78_1981" w:history="1">
            <w:r>
              <w:t xml:space="preserve">В-08. Книжная и альбомная ориентации</w:t>
            </w:r>
          </w:hyperlink>
          <w:r>
            <w:tab/>
            <w:t>6</w:t>
          </w:r>
        </w:p>
        <w:p>
          <w:pPr>
            <w:pStyle w:val="TOC3"/>
            <w:tabs>
              <w:tab w:val="right" w:leader="dot" w:pos="9638"/>
            </w:tabs>
          </w:pPr>
          <w:hyperlink w:anchor="_TocAnchor87_1983" w:history="1">
            <w:r>
              <w:t xml:space="preserve">В-09. Движение устройства и доступная альтернатива</w:t>
            </w:r>
          </w:hyperlink>
          <w:r>
            <w:tab/>
            <w:t>6</w:t>
          </w:r>
        </w:p>
        <w:p>
          <w:pPr>
            <w:pStyle w:val="TOC3"/>
            <w:tabs>
              <w:tab w:val="right" w:leader="dot" w:pos="9638"/>
            </w:tabs>
          </w:pPr>
          <w:hyperlink w:anchor="_TocAnchor96_1985" w:history="1">
            <w:r>
              <w:t xml:space="preserve">В-10. Контраст и независимость от цвета</w:t>
            </w:r>
          </w:hyperlink>
          <w:r>
            <w:tab/>
            <w:t>7</w:t>
          </w:r>
        </w:p>
        <w:p>
          <w:pPr>
            <w:pStyle w:val="TOC3"/>
            <w:tabs>
              <w:tab w:val="right" w:leader="dot" w:pos="9638"/>
            </w:tabs>
          </w:pPr>
          <w:hyperlink w:anchor="_TocAnchor105_1987" w:history="1">
            <w:r>
              <w:t xml:space="preserve">В-11. Уведомления, ошибки, прогресс и сообщения о состоянии</w:t>
            </w:r>
          </w:hyperlink>
          <w:r>
            <w:tab/>
            <w:t>7</w:t>
          </w:r>
        </w:p>
        <w:p>
          <w:pPr>
            <w:pStyle w:val="TOC3"/>
            <w:tabs>
              <w:tab w:val="right" w:leader="dot" w:pos="9638"/>
            </w:tabs>
          </w:pPr>
          <w:hyperlink w:anchor="_TocAnchor114_1989" w:history="1">
            <w:r>
              <w:t xml:space="preserve">В-12. Подписи, инструкции, ошибки и исправление формы</w:t>
            </w:r>
          </w:hyperlink>
          <w:r>
            <w:tab/>
            <w:t>8</w:t>
          </w:r>
        </w:p>
        <w:p>
          <w:pPr>
            <w:pStyle w:val="TOC3"/>
            <w:tabs>
              <w:tab w:val="right" w:leader="dot" w:pos="9638"/>
            </w:tabs>
          </w:pPr>
          <w:hyperlink w:anchor="_TocAnchor123_1991" w:history="1">
            <w:r>
              <w:t xml:space="preserve">В-13. Назначение ввода, перекрытие фокуса и повторный ввод</w:t>
            </w:r>
          </w:hyperlink>
          <w:r>
            <w:tab/>
            <w:t>9</w:t>
          </w:r>
        </w:p>
        <w:p>
          <w:pPr>
            <w:pStyle w:val="TOC3"/>
            <w:tabs>
              <w:tab w:val="right" w:leader="dot" w:pos="9638"/>
            </w:tabs>
          </w:pPr>
          <w:hyperlink w:anchor="_TocAnchor132_1993" w:history="1">
            <w:r>
              <w:t xml:space="preserve">В-14. Ограничения времени, движение и вспышки</w:t>
            </w:r>
          </w:hyperlink>
          <w:r>
            <w:tab/>
            <w:t>9</w:t>
          </w:r>
        </w:p>
        <w:p>
          <w:pPr>
            <w:pStyle w:val="TOC3"/>
            <w:tabs>
              <w:tab w:val="right" w:leader="dot" w:pos="9638"/>
            </w:tabs>
          </w:pPr>
          <w:hyperlink w:anchor="_TocAnchor141_1995" w:history="1">
            <w:r>
              <w:t xml:space="preserve">В-15. Доступная аутентификация</w:t>
            </w:r>
          </w:hyperlink>
          <w:r>
            <w:tab/>
            <w:t>10</w:t>
          </w:r>
        </w:p>
        <w:p>
          <w:pPr>
            <w:pStyle w:val="TOC3"/>
            <w:tabs>
              <w:tab w:val="right" w:leader="dot" w:pos="9638"/>
            </w:tabs>
          </w:pPr>
          <w:hyperlink w:anchor="_TocAnchor150_1997" w:history="1">
            <w:r>
              <w:t xml:space="preserve">В-16. Внешняя клавиатура</w:t>
            </w:r>
          </w:hyperlink>
          <w:r>
            <w:tab/>
            <w:t>10</w:t>
          </w:r>
        </w:p>
        <w:p>
          <w:pPr>
            <w:pStyle w:val="TOC3"/>
            <w:tabs>
              <w:tab w:val="right" w:leader="dot" w:pos="9638"/>
            </w:tabs>
          </w:pPr>
          <w:hyperlink w:anchor="_TocAnchor159_1999" w:history="1">
            <w:r>
              <w:t xml:space="preserve">В-17. Управление переключателями</w:t>
            </w:r>
          </w:hyperlink>
          <w:r>
            <w:tab/>
            <w:t>11</w:t>
          </w:r>
        </w:p>
        <w:p>
          <w:pPr>
            <w:pStyle w:val="TOC3"/>
            <w:tabs>
              <w:tab w:val="right" w:leader="dot" w:pos="9638"/>
            </w:tabs>
          </w:pPr>
          <w:hyperlink w:anchor="_TocAnchor168_2001" w:history="1">
            <w:r>
              <w:t xml:space="preserve">В-18. Системные настройки доступности</w:t>
            </w:r>
          </w:hyperlink>
          <w:r>
            <w:tab/>
            <w:t>11</w:t>
          </w:r>
        </w:p>
        <w:p>
          <w:pPr>
            <w:pStyle w:val="TOC3"/>
            <w:tabs>
              <w:tab w:val="right" w:leader="dot" w:pos="9638"/>
            </w:tabs>
          </w:pPr>
          <w:hyperlink w:anchor="_TocAnchor177_2003" w:history="1">
            <w:r>
              <w:t xml:space="preserve">В-19. Системные диалоги, разрешения и возврат</w:t>
            </w:r>
          </w:hyperlink>
          <w:r>
            <w:tab/>
            <w:t>12</w:t>
          </w:r>
        </w:p>
        <w:p>
          <w:pPr>
            <w:pStyle w:val="TOC3"/>
            <w:tabs>
              <w:tab w:val="right" w:leader="dot" w:pos="9638"/>
            </w:tabs>
          </w:pPr>
          <w:hyperlink w:anchor="_TocAnchor186_2005" w:history="1">
            <w:r>
              <w:t xml:space="preserve">В-20. Встроенные веб-представления</w:t>
            </w:r>
          </w:hyperlink>
          <w:r>
            <w:tab/>
            <w:t>13</w:t>
          </w:r>
        </w:p>
        <w:p>
          <w:pPr>
            <w:pStyle w:val="TOC3"/>
            <w:tabs>
              <w:tab w:val="right" w:leader="dot" w:pos="9638"/>
            </w:tabs>
          </w:pPr>
          <w:hyperlink w:anchor="_TocAnchor195_2007" w:history="1">
            <w:r>
              <w:t xml:space="preserve">В-21. Аудио и видео</w:t>
            </w:r>
          </w:hyperlink>
          <w:r>
            <w:tab/>
            <w:t>13</w:t>
          </w:r>
        </w:p>
        <w:p>
          <w:pPr>
            <w:pStyle w:val="TOC3"/>
            <w:tabs>
              <w:tab w:val="right" w:leader="dot" w:pos="9638"/>
            </w:tabs>
          </w:pPr>
          <w:hyperlink w:anchor="_TocAnchor204_2009" w:history="1">
            <w:r>
              <w:t xml:space="preserve">В-22. Предотвращение ошибки, подтверждение, отмена и повторный ввод</w:t>
            </w:r>
          </w:hyperlink>
          <w:r>
            <w:tab/>
            <w:t>14</w:t>
          </w:r>
        </w:p>
        <w:p>
          <w:pPr>
            <w:pStyle w:val="TOC2"/>
            <w:tabs>
              <w:tab w:val="right" w:leader="dot" w:pos="9638"/>
            </w:tabs>
          </w:pPr>
          <w:hyperlink w:anchor="_TocAnchor213_2011" w:history="1">
            <w:r>
              <w:t xml:space="preserve">Матрица результата</w:t>
            </w:r>
          </w:hyperlink>
          <w:r>
            <w:tab/>
            <w:t>14</w:t>
          </w:r>
        </w:p>
        <w:p>
          <w:r>
            <w:fldChar w:fldCharType="end"/>
          </w:r>
        </w:p>
      </w:sdtContent>
    </w:sdt>
    <w:p>
      <w:pPr>
        <w:pStyle w:val="FirstParagraph"/>
      </w:pPr>
      <w:r>
        <w:rPr>
          <w:b/>
          <w:bCs/>
        </w:rPr>
        <w:t xml:space="preserve">Версия:</w:t>
      </w:r>
      <w:r>
        <w:t xml:space="preserve"> </w:t>
      </w:r>
      <w:r>
        <w:t xml:space="preserve">0.1</w:t>
      </w:r>
      <w:r>
        <w:br/>
      </w:r>
      <w:r>
        <w:rPr>
          <w:b/>
          <w:bCs/>
        </w:rPr>
        <w:t xml:space="preserve">Дата:</w:t>
      </w:r>
      <w:r>
        <w:t xml:space="preserve"> </w:t>
      </w:r>
      <w:r>
        <w:t xml:space="preserve">23 сентября 2026 года</w:t>
      </w:r>
      <w:r>
        <w:br/>
      </w:r>
      <w:r>
        <w:rPr>
          <w:b/>
          <w:bCs/>
        </w:rPr>
        <w:t xml:space="preserve">Статус:</w:t>
      </w:r>
      <w:r>
        <w:t xml:space="preserve"> </w:t>
      </w:r>
      <w:r>
        <w:t xml:space="preserve">приложение к методологии оценки, проект для обсуждения и апробации. Это не утвержденный стандарт, нормативный правовой акт или сертификат.</w:t>
      </w:r>
    </w:p>
    <w:bookmarkStart w:id="20" w:name="X7f63c22228cc384033f81f4ef5e0e57e1d04e93"/>
    <w:p>
      <w:pPr>
        <w:pStyle w:val="Heading2"/>
      </w:pPr>
      <w:bookmarkStart w:id="1964" w:name="_TocAnchor4_1963"/>
      <w:r>
        <w:t xml:space="preserve">Зачем нужны протоколы и как ими пользоваться</w:t>
      </w:r>
      <w:bookmarkEnd w:id="1964"/>
    </w:p>
    <w:p>
      <w:pPr>
        <w:pStyle w:val="FirstParagraph"/>
      </w:pPr>
      <w:r>
        <w:t xml:space="preserve">Приложение задает одинаковую процедуру для проверок В-01-В-22 раздела В</w:t>
      </w:r>
      <w:r>
        <w:t xml:space="preserve"> </w:t>
      </w:r>
      <w:hyperlink r:id="rId18">
        <w:r>
          <w:rPr>
            <w:rStyle w:val="Hyperlink"/>
          </w:rPr>
          <w:t xml:space="preserve">«Методологии оценки доступности цифровых ресурсов»</w:t>
        </w:r>
      </w:hyperlink>
      <w:r>
        <w:t xml:space="preserve">. Методология определяет объект, инвентаризацию, выборку, матрицу устройств, доказательства и серьезность; этот файл определяет действия оценщика в каждом выбранном экране и состоянии.</w:t>
      </w:r>
    </w:p>
    <w:p>
      <w:pPr>
        <w:pStyle w:val="BodyText"/>
      </w:pPr>
      <w:r>
        <w:t xml:space="preserve">Каждая карточка заканчивается одним итоговым статусом: прохождение, нарушение, NA или не проверено. Если карточка содержит несколько условий, для каждого условия сначала записывается внутренний подрезультат, а затем применяется одно правило агрегации:</w:t>
      </w:r>
    </w:p>
    <w:p>
      <w:pPr>
        <w:pStyle w:val="Compact"/>
        <w:numPr>
          <w:ilvl w:val="0"/>
          <w:numId w:val="1001"/>
        </w:numPr>
      </w:pPr>
      <w:r>
        <w:t xml:space="preserve">любое применимое нарушение дает итог «нарушение»;</w:t>
      </w:r>
    </w:p>
    <w:p>
      <w:pPr>
        <w:pStyle w:val="Compact"/>
        <w:numPr>
          <w:ilvl w:val="0"/>
          <w:numId w:val="1001"/>
        </w:numPr>
      </w:pPr>
      <w:r>
        <w:t xml:space="preserve">если нарушений нет, но хотя бы один применимый подрезультат не проверен, итог «не проверено»;</w:t>
      </w:r>
    </w:p>
    <w:p>
      <w:pPr>
        <w:pStyle w:val="Compact"/>
        <w:numPr>
          <w:ilvl w:val="0"/>
          <w:numId w:val="1001"/>
        </w:numPr>
      </w:pPr>
      <w:r>
        <w:t xml:space="preserve">если хотя бы один применимый подрезультат пройден, остальные пройдены или имеют обоснованный NA, итог «прохождение»;</w:t>
      </w:r>
    </w:p>
    <w:p>
      <w:pPr>
        <w:pStyle w:val="Compact"/>
        <w:numPr>
          <w:ilvl w:val="0"/>
          <w:numId w:val="1001"/>
        </w:numPr>
      </w:pPr>
      <w:r>
        <w:t xml:space="preserve">итог NA допустим только тогда, когда все подрезультаты имеют подтвержденный NA.</w:t>
      </w:r>
    </w:p>
    <w:p>
      <w:pPr>
        <w:pStyle w:val="FirstParagraph"/>
      </w:pPr>
      <w:r>
        <w:t xml:space="preserve">Таким образом, сочетание</w:t>
      </w:r>
      <w:r>
        <w:t xml:space="preserve"> </w:t>
      </w:r>
      <w:r>
        <w:rPr>
          <w:rStyle w:val="VerbatimChar"/>
        </w:rPr>
        <w:t xml:space="preserve">NA + прохождение</w:t>
      </w:r>
      <w:r>
        <w:t xml:space="preserve"> </w:t>
      </w:r>
      <w:r>
        <w:t xml:space="preserve">дает одно итоговое прохождение,</w:t>
      </w:r>
      <w:r>
        <w:t xml:space="preserve"> </w:t>
      </w:r>
      <w:r>
        <w:rPr>
          <w:rStyle w:val="VerbatimChar"/>
        </w:rPr>
        <w:t xml:space="preserve">NA + нарушение</w:t>
      </w:r>
      <w:r>
        <w:t xml:space="preserve"> </w:t>
      </w:r>
      <w:r>
        <w:t xml:space="preserve">дает одно итоговое нарушение, а</w:t>
      </w:r>
      <w:r>
        <w:t xml:space="preserve"> </w:t>
      </w:r>
      <w:r>
        <w:rPr>
          <w:rStyle w:val="VerbatimChar"/>
        </w:rPr>
        <w:t xml:space="preserve">не проверено + прохождение</w:t>
      </w:r>
      <w:r>
        <w:t xml:space="preserve"> </w:t>
      </w:r>
      <w:r>
        <w:t xml:space="preserve">дает одно итоговое «не проверено». Несколько нарушений сохраняются как отдельные подрезультаты и доказательства, но не создают несколько итоговых статусов карточки.</w:t>
      </w:r>
    </w:p>
    <w:p>
      <w:pPr>
        <w:pStyle w:val="BodyText"/>
      </w:pPr>
      <w:r>
        <w:t xml:space="preserve">Минимальная запись результата всегда содержит идентификатор и версию приложения, платформу и модель устройства, конфигурацию, ID экрана и состояния, предусловия, шаги, ожидаемый и фактический результат, дату, оценщика и ссылку на доказательство. Статический сигнал и выгрузка дерева доступности не заменяют ручной шаг и фактический вывод программы экранного доступа.</w:t>
      </w:r>
    </w:p>
    <w:p>
      <w:pPr>
        <w:pStyle w:val="BodyText"/>
      </w:pPr>
      <w:r>
        <w:t xml:space="preserve">Нормативная ссылка показывает основание проверки.</w:t>
      </w:r>
      <w:r>
        <w:t xml:space="preserve"> </w:t>
      </w:r>
      <w:hyperlink r:id="rId19">
        <w:r>
          <w:rPr>
            <w:rStyle w:val="Hyperlink"/>
          </w:rPr>
          <w:t xml:space="preserve">WCAG2ICT</w:t>
        </w:r>
      </w:hyperlink>
      <w:r>
        <w:t xml:space="preserve"> </w:t>
      </w:r>
      <w:r>
        <w:t xml:space="preserve">является информативным пояснением применения WCAG к невеб-программному обеспечению. Ссылка на протокол Г означает, что его процедура применяется с мобильной спецификой раздела В.5. Поле «Граница проекта» отделяет условие источника от более строгого правила проекта.</w:t>
      </w:r>
    </w:p>
    <w:bookmarkEnd w:id="20"/>
    <w:bookmarkStart w:id="84" w:name="протоколы"/>
    <w:p>
      <w:pPr>
        <w:pStyle w:val="Heading2"/>
      </w:pPr>
      <w:bookmarkStart w:id="1966" w:name="_TocAnchor14_1965"/>
      <w:r>
        <w:t xml:space="preserve">Протоколы</w:t>
      </w:r>
      <w:bookmarkEnd w:id="1966"/>
    </w:p>
    <w:bookmarkStart w:id="23" w:name="X30839335e2caa076c46d23ee5e68830e211810b"/>
    <w:p>
      <w:pPr>
        <w:pStyle w:val="Heading3"/>
      </w:pPr>
      <w:bookmarkStart w:id="1968" w:name="_TocAnchor15_1967"/>
      <w:r>
        <w:t xml:space="preserve">В-01. Доступные имя, роль, состояние, значение, связи и действия</w:t>
      </w:r>
      <w:bookmarkEnd w:id="1968"/>
    </w:p>
    <w:p>
      <w:pPr>
        <w:pStyle w:val="Compact"/>
        <w:numPr>
          <w:ilvl w:val="0"/>
          <w:numId w:val="1002"/>
        </w:numPr>
      </w:pPr>
      <w:r>
        <w:rPr>
          <w:b/>
          <w:bCs/>
        </w:rPr>
        <w:t xml:space="preserve">Применимость:</w:t>
      </w:r>
      <w:r>
        <w:t xml:space="preserve"> </w:t>
      </w:r>
      <w:r>
        <w:t xml:space="preserve">каждый значимый элемент управления, информационный объект и составной компонент.</w:t>
      </w:r>
    </w:p>
    <w:p>
      <w:pPr>
        <w:pStyle w:val="Compact"/>
        <w:numPr>
          <w:ilvl w:val="0"/>
          <w:numId w:val="1002"/>
        </w:numPr>
      </w:pPr>
      <w:r>
        <w:rPr>
          <w:b/>
          <w:bCs/>
        </w:rPr>
        <w:t xml:space="preserve">Предусловия:</w:t>
      </w:r>
      <w:r>
        <w:t xml:space="preserve"> </w:t>
      </w:r>
      <w:r>
        <w:t xml:space="preserve">экран в исходном и измененном состоянии, программа экранного доступа, выгрузка дерева доступности.</w:t>
      </w:r>
    </w:p>
    <w:p>
      <w:pPr>
        <w:pStyle w:val="Compact"/>
        <w:numPr>
          <w:ilvl w:val="0"/>
          <w:numId w:val="1002"/>
        </w:numPr>
      </w:pPr>
      <w:r>
        <w:rPr>
          <w:b/>
          <w:bCs/>
        </w:rPr>
        <w:t xml:space="preserve">Шаги и параметры:</w:t>
      </w:r>
      <w:r>
        <w:t xml:space="preserve"> </w:t>
      </w:r>
      <w:r>
        <w:t xml:space="preserve">пройти элементы касанием и последовательным обходом; сопоставить видимую подпись с доступным именем; проверить роль, состояние, значение, связи и список действий; изменить значение или состояние и повторить чтение; выполнить применимый протокол Г-01.</w:t>
      </w:r>
    </w:p>
    <w:p>
      <w:pPr>
        <w:pStyle w:val="Compact"/>
        <w:numPr>
          <w:ilvl w:val="0"/>
          <w:numId w:val="1002"/>
        </w:numPr>
      </w:pPr>
      <w:r>
        <w:rPr>
          <w:b/>
          <w:bCs/>
        </w:rPr>
        <w:t xml:space="preserve">Прохождение/нарушение:</w:t>
      </w:r>
      <w:r>
        <w:t xml:space="preserve"> </w:t>
      </w:r>
      <w:r>
        <w:t xml:space="preserve">проходит, если свойства точны, достаточны и своевременно обновляются, а каждое доступное действие выполняется; нарушение при отсутствующем или ложном имени, роли, состоянии, значении, связи или действии.</w:t>
      </w:r>
    </w:p>
    <w:p>
      <w:pPr>
        <w:pStyle w:val="Compact"/>
        <w:numPr>
          <w:ilvl w:val="0"/>
          <w:numId w:val="1002"/>
        </w:numPr>
      </w:pPr>
      <w:r>
        <w:rPr>
          <w:b/>
          <w:bCs/>
        </w:rPr>
        <w:t xml:space="preserve">NA/не проверено:</w:t>
      </w:r>
      <w:r>
        <w:t xml:space="preserve"> </w:t>
      </w:r>
      <w:r>
        <w:t xml:space="preserve">NA невозможно для интерфейса с пользовательскими компонентами; не проверено при недоступном состоянием или дереве, если фактический вывод также нельзя наблюдать.</w:t>
      </w:r>
    </w:p>
    <w:p>
      <w:pPr>
        <w:pStyle w:val="Compact"/>
        <w:numPr>
          <w:ilvl w:val="0"/>
          <w:numId w:val="1002"/>
        </w:numPr>
      </w:pPr>
      <w:r>
        <w:rPr>
          <w:b/>
          <w:bCs/>
        </w:rPr>
        <w:t xml:space="preserve">Минимальное доказательство:</w:t>
      </w:r>
      <w:r>
        <w:t xml:space="preserve"> </w:t>
      </w:r>
      <w:r>
        <w:t xml:space="preserve">снимок, узел дерева до и после, дословная расшифровка озвучивания и выполненное действие.</w:t>
      </w:r>
    </w:p>
    <w:p>
      <w:pPr>
        <w:pStyle w:val="Compact"/>
        <w:numPr>
          <w:ilvl w:val="0"/>
          <w:numId w:val="1002"/>
        </w:numPr>
      </w:pPr>
      <w:r>
        <w:rPr>
          <w:b/>
          <w:bCs/>
        </w:rPr>
        <w:t xml:space="preserve">Нормативная ссылка:</w:t>
      </w:r>
      <w:r>
        <w:t xml:space="preserve"> </w:t>
      </w:r>
      <w:hyperlink r:id="rId21">
        <w:r>
          <w:rPr>
            <w:rStyle w:val="Hyperlink"/>
          </w:rPr>
          <w:t xml:space="preserve">EN 301 549 V4.1.1, 11.5.2</w:t>
        </w:r>
      </w:hyperlink>
      <w:r>
        <w:t xml:space="preserve">,</w:t>
      </w:r>
      <w:r>
        <w:t xml:space="preserve"> </w:t>
      </w:r>
      <w:hyperlink r:id="rId22">
        <w:r>
          <w:rPr>
            <w:rStyle w:val="Hyperlink"/>
          </w:rPr>
          <w:t xml:space="preserve">WCAG 4.1.2</w:t>
        </w:r>
      </w:hyperlink>
      <w:r>
        <w:t xml:space="preserve">.</w:t>
      </w:r>
    </w:p>
    <w:p>
      <w:pPr>
        <w:pStyle w:val="Compact"/>
        <w:numPr>
          <w:ilvl w:val="0"/>
          <w:numId w:val="1002"/>
        </w:numPr>
      </w:pPr>
      <w:r>
        <w:rPr>
          <w:b/>
          <w:bCs/>
        </w:rPr>
        <w:t xml:space="preserve">Граница проекта:</w:t>
      </w:r>
      <w:r>
        <w:t xml:space="preserve"> </w:t>
      </w:r>
      <w:r>
        <w:t xml:space="preserve">наличие непустого свойства само по себе не доказывает его точность; окончательный вывод всегда ручной.</w:t>
      </w:r>
    </w:p>
    <w:bookmarkEnd w:id="23"/>
    <w:bookmarkStart w:id="26" w:name="Xaccde3305a5562522e3cbff70eac6997ddf2635"/>
    <w:p>
      <w:pPr>
        <w:pStyle w:val="Heading3"/>
      </w:pPr>
      <w:bookmarkStart w:id="1970" w:name="_TocAnchor24_1969"/>
      <w:r>
        <w:t xml:space="preserve">В-02. Порядок обхода, фокус и виртуализированное содержимое</w:t>
      </w:r>
      <w:bookmarkEnd w:id="1970"/>
    </w:p>
    <w:p>
      <w:pPr>
        <w:pStyle w:val="Compact"/>
        <w:numPr>
          <w:ilvl w:val="0"/>
          <w:numId w:val="1003"/>
        </w:numPr>
      </w:pPr>
      <w:r>
        <w:rPr>
          <w:b/>
          <w:bCs/>
        </w:rPr>
        <w:t xml:space="preserve">Применимость:</w:t>
      </w:r>
      <w:r>
        <w:t xml:space="preserve"> </w:t>
      </w:r>
      <w:r>
        <w:t xml:space="preserve">экраны с двумя и более элементами, прокруткой, подгрузкой, диалогом или динамическим обновлением.</w:t>
      </w:r>
    </w:p>
    <w:p>
      <w:pPr>
        <w:pStyle w:val="Compact"/>
        <w:numPr>
          <w:ilvl w:val="0"/>
          <w:numId w:val="1003"/>
        </w:numPr>
      </w:pPr>
      <w:r>
        <w:rPr>
          <w:b/>
          <w:bCs/>
        </w:rPr>
        <w:t xml:space="preserve">Предусловия:</w:t>
      </w:r>
      <w:r>
        <w:t xml:space="preserve"> </w:t>
      </w:r>
      <w:r>
        <w:t xml:space="preserve">ожидаемая смысловая последовательность, программа экранного доступа, состояния до и после перехода.</w:t>
      </w:r>
    </w:p>
    <w:p>
      <w:pPr>
        <w:pStyle w:val="Compact"/>
        <w:numPr>
          <w:ilvl w:val="0"/>
          <w:numId w:val="1003"/>
        </w:numPr>
      </w:pPr>
      <w:r>
        <w:rPr>
          <w:b/>
          <w:bCs/>
        </w:rPr>
        <w:t xml:space="preserve">Шаги и параметры:</w:t>
      </w:r>
      <w:r>
        <w:t xml:space="preserve"> </w:t>
      </w:r>
      <w:r>
        <w:t xml:space="preserve">пройти экран вперед и назад; прокрутить и загрузить следующую часть; открыть и закрыть диалог; вызвать обновление, ошибку и возврат; записать фокус до и после; выполнить применимые протоколы Г-02 и Г-04.</w:t>
      </w:r>
    </w:p>
    <w:p>
      <w:pPr>
        <w:pStyle w:val="Compact"/>
        <w:numPr>
          <w:ilvl w:val="0"/>
          <w:numId w:val="1003"/>
        </w:numPr>
      </w:pPr>
      <w:r>
        <w:rPr>
          <w:b/>
          <w:bCs/>
        </w:rPr>
        <w:t xml:space="preserve">Прохождение/нарушение:</w:t>
      </w:r>
      <w:r>
        <w:t xml:space="preserve"> </w:t>
      </w:r>
      <w:r>
        <w:t xml:space="preserve">проходит, если порядок сохраняет смысл, скрытые и пустые объекты исключены, подгруженное содержимое достижимо, а фокус после изменения предсказуем; нарушение при пропуске, цикле, скачке, потере или попадании на невидимый объект.</w:t>
      </w:r>
    </w:p>
    <w:p>
      <w:pPr>
        <w:pStyle w:val="Compact"/>
        <w:numPr>
          <w:ilvl w:val="0"/>
          <w:numId w:val="1003"/>
        </w:numPr>
      </w:pPr>
      <w:r>
        <w:rPr>
          <w:b/>
          <w:bCs/>
        </w:rPr>
        <w:t xml:space="preserve">NA/не проверено:</w:t>
      </w:r>
      <w:r>
        <w:t xml:space="preserve"> </w:t>
      </w:r>
      <w:r>
        <w:t xml:space="preserve">NA только для состояния с одним недействующим информационным объектом; не проверено, если динамическое состояние нельзя безопасно вызвать.</w:t>
      </w:r>
    </w:p>
    <w:p>
      <w:pPr>
        <w:pStyle w:val="Compact"/>
        <w:numPr>
          <w:ilvl w:val="0"/>
          <w:numId w:val="1003"/>
        </w:numPr>
      </w:pPr>
      <w:r>
        <w:rPr>
          <w:b/>
          <w:bCs/>
        </w:rPr>
        <w:t xml:space="preserve">Минимальное доказательство:</w:t>
      </w:r>
      <w:r>
        <w:t xml:space="preserve"> </w:t>
      </w:r>
      <w:r>
        <w:t xml:space="preserve">нумерованная последовательность, запись озвучивания, снимки до и после, фрагменты дерева и положение фокуса.</w:t>
      </w:r>
    </w:p>
    <w:p>
      <w:pPr>
        <w:pStyle w:val="Compact"/>
        <w:numPr>
          <w:ilvl w:val="0"/>
          <w:numId w:val="1003"/>
        </w:numPr>
      </w:pPr>
      <w:r>
        <w:rPr>
          <w:b/>
          <w:bCs/>
        </w:rPr>
        <w:t xml:space="preserve">Нормативная ссылка:</w:t>
      </w:r>
      <w:r>
        <w:t xml:space="preserve"> </w:t>
      </w:r>
      <w:hyperlink r:id="rId24">
        <w:r>
          <w:rPr>
            <w:rStyle w:val="Hyperlink"/>
          </w:rPr>
          <w:t xml:space="preserve">WCAG 1.3.2</w:t>
        </w:r>
      </w:hyperlink>
      <w:r>
        <w:t xml:space="preserve">,</w:t>
      </w:r>
      <w:r>
        <w:t xml:space="preserve"> </w:t>
      </w:r>
      <w:hyperlink r:id="rId25">
        <w:r>
          <w:rPr>
            <w:rStyle w:val="Hyperlink"/>
          </w:rPr>
          <w:t xml:space="preserve">2.4.3</w:t>
        </w:r>
      </w:hyperlink>
      <w:r>
        <w:t xml:space="preserve">,</w:t>
      </w:r>
      <w:r>
        <w:t xml:space="preserve"> </w:t>
      </w:r>
      <w:hyperlink r:id="rId21">
        <w:r>
          <w:rPr>
            <w:rStyle w:val="Hyperlink"/>
          </w:rPr>
          <w:t xml:space="preserve">EN 301 549 V4.1.1, 11.5.2.13-11.5.2.15</w:t>
        </w:r>
      </w:hyperlink>
      <w:r>
        <w:t xml:space="preserve">.</w:t>
      </w:r>
    </w:p>
    <w:p>
      <w:pPr>
        <w:pStyle w:val="Compact"/>
        <w:numPr>
          <w:ilvl w:val="0"/>
          <w:numId w:val="1003"/>
        </w:numPr>
      </w:pPr>
      <w:r>
        <w:rPr>
          <w:b/>
          <w:bCs/>
        </w:rPr>
        <w:t xml:space="preserve">Граница проекта:</w:t>
      </w:r>
      <w:r>
        <w:t xml:space="preserve"> </w:t>
      </w:r>
      <w:r>
        <w:t xml:space="preserve">одинаковый порядок дерева и визуального расположения не обязателен, если фактическая последовательность сохраняет смысл и работу.</w:t>
      </w:r>
    </w:p>
    <w:bookmarkEnd w:id="26"/>
    <w:bookmarkStart w:id="28" w:name="X56ba40e25e97828d5a1da13c6cdcd30ce3d0988"/>
    <w:p>
      <w:pPr>
        <w:pStyle w:val="Heading3"/>
      </w:pPr>
      <w:bookmarkStart w:id="1972" w:name="_TocAnchor33_1971"/>
      <w:r>
        <w:t xml:space="preserve">В-03. Сложные жесты и одноточечная альтернатива</w:t>
      </w:r>
      <w:bookmarkEnd w:id="1972"/>
    </w:p>
    <w:p>
      <w:pPr>
        <w:pStyle w:val="Compact"/>
        <w:numPr>
          <w:ilvl w:val="0"/>
          <w:numId w:val="1004"/>
        </w:numPr>
      </w:pPr>
      <w:r>
        <w:rPr>
          <w:b/>
          <w:bCs/>
        </w:rPr>
        <w:t xml:space="preserve">Применимость:</w:t>
      </w:r>
      <w:r>
        <w:t xml:space="preserve"> </w:t>
      </w:r>
      <w:r>
        <w:t xml:space="preserve">действие с несколькими точками касания, направленным проведением, рисованием пути или иным жестом по траектории.</w:t>
      </w:r>
    </w:p>
    <w:p>
      <w:pPr>
        <w:pStyle w:val="Compact"/>
        <w:numPr>
          <w:ilvl w:val="0"/>
          <w:numId w:val="1004"/>
        </w:numPr>
      </w:pPr>
      <w:r>
        <w:rPr>
          <w:b/>
          <w:bCs/>
        </w:rPr>
        <w:t xml:space="preserve">Предусловия:</w:t>
      </w:r>
      <w:r>
        <w:t xml:space="preserve"> </w:t>
      </w:r>
      <w:r>
        <w:t xml:space="preserve">перечень жестов В.2, исходное состояние и описание ожидаемой функции.</w:t>
      </w:r>
    </w:p>
    <w:p>
      <w:pPr>
        <w:pStyle w:val="Compact"/>
        <w:numPr>
          <w:ilvl w:val="0"/>
          <w:numId w:val="1004"/>
        </w:numPr>
      </w:pPr>
      <w:r>
        <w:rPr>
          <w:b/>
          <w:bCs/>
        </w:rPr>
        <w:t xml:space="preserve">Шаги и параметры:</w:t>
      </w:r>
      <w:r>
        <w:t xml:space="preserve"> </w:t>
      </w:r>
      <w:r>
        <w:t xml:space="preserve">выполнить каждый жест обычным способом; найти и выполнить альтернативу одним касанием, нажатием или иным одноточечным действием без траектории; проверить обе программы экранного доступа; установить, не принадлежит ли жест платформе или вспомогательной технологии.</w:t>
      </w:r>
    </w:p>
    <w:p>
      <w:pPr>
        <w:pStyle w:val="Compact"/>
        <w:numPr>
          <w:ilvl w:val="0"/>
          <w:numId w:val="1004"/>
        </w:numPr>
      </w:pPr>
      <w:r>
        <w:rPr>
          <w:b/>
          <w:bCs/>
        </w:rPr>
        <w:t xml:space="preserve">Прохождение/нарушение:</w:t>
      </w:r>
      <w:r>
        <w:t xml:space="preserve"> </w:t>
      </w:r>
      <w:r>
        <w:t xml:space="preserve">проходит при равноценной одноточечной альтернативе либо доказанной существенности жеста; нарушение, если функция приложения доступна только сложным жестом.</w:t>
      </w:r>
    </w:p>
    <w:p>
      <w:pPr>
        <w:pStyle w:val="Compact"/>
        <w:numPr>
          <w:ilvl w:val="0"/>
          <w:numId w:val="1004"/>
        </w:numPr>
      </w:pPr>
      <w:r>
        <w:rPr>
          <w:b/>
          <w:bCs/>
        </w:rPr>
        <w:t xml:space="preserve">NA/не проверено:</w:t>
      </w:r>
      <w:r>
        <w:t xml:space="preserve"> </w:t>
      </w:r>
      <w:r>
        <w:t xml:space="preserve">NA при отсутствии таких жестов; не проверено, если состояние или устройство не позволяет воспроизведение.</w:t>
      </w:r>
    </w:p>
    <w:p>
      <w:pPr>
        <w:pStyle w:val="Compact"/>
        <w:numPr>
          <w:ilvl w:val="0"/>
          <w:numId w:val="1004"/>
        </w:numPr>
      </w:pPr>
      <w:r>
        <w:rPr>
          <w:b/>
          <w:bCs/>
        </w:rPr>
        <w:t xml:space="preserve">Минимальное доказательство:</w:t>
      </w:r>
      <w:r>
        <w:t xml:space="preserve"> </w:t>
      </w:r>
      <w:r>
        <w:t xml:space="preserve">запись жеста и альтернативы, результат каждого пути и обоснование исключения, если оно применено.</w:t>
      </w:r>
    </w:p>
    <w:p>
      <w:pPr>
        <w:pStyle w:val="Compact"/>
        <w:numPr>
          <w:ilvl w:val="0"/>
          <w:numId w:val="1004"/>
        </w:numPr>
      </w:pPr>
      <w:r>
        <w:rPr>
          <w:b/>
          <w:bCs/>
        </w:rPr>
        <w:t xml:space="preserve">Нормативная ссылка:</w:t>
      </w:r>
      <w:r>
        <w:t xml:space="preserve"> </w:t>
      </w:r>
      <w:hyperlink r:id="rId27">
        <w:r>
          <w:rPr>
            <w:rStyle w:val="Hyperlink"/>
          </w:rPr>
          <w:t xml:space="preserve">WCAG 2.5.1</w:t>
        </w:r>
      </w:hyperlink>
      <w:r>
        <w:t xml:space="preserve">,</w:t>
      </w:r>
      <w:r>
        <w:t xml:space="preserve"> </w:t>
      </w:r>
      <w:hyperlink r:id="rId21">
        <w:r>
          <w:rPr>
            <w:rStyle w:val="Hyperlink"/>
          </w:rPr>
          <w:t xml:space="preserve">EN 301 549 V4.1.1, 11.2.5.1</w:t>
        </w:r>
      </w:hyperlink>
      <w:r>
        <w:t xml:space="preserve">.</w:t>
      </w:r>
    </w:p>
    <w:p>
      <w:pPr>
        <w:pStyle w:val="Compact"/>
        <w:numPr>
          <w:ilvl w:val="0"/>
          <w:numId w:val="1004"/>
        </w:numPr>
      </w:pPr>
      <w:r>
        <w:rPr>
          <w:b/>
          <w:bCs/>
        </w:rPr>
        <w:t xml:space="preserve">Граница проекта:</w:t>
      </w:r>
      <w:r>
        <w:t xml:space="preserve"> </w:t>
      </w:r>
      <w:r>
        <w:t xml:space="preserve">системные жесты программы экранного доступа не считаются жестами приложения.</w:t>
      </w:r>
    </w:p>
    <w:bookmarkEnd w:id="28"/>
    <w:bookmarkStart w:id="30" w:name="в-04.-отмена-действия-указателем"/>
    <w:p>
      <w:pPr>
        <w:pStyle w:val="Heading3"/>
      </w:pPr>
      <w:bookmarkStart w:id="1974" w:name="_TocAnchor42_1973"/>
      <w:r>
        <w:t xml:space="preserve">В-04. Отмена действия указателем</w:t>
      </w:r>
      <w:bookmarkEnd w:id="1974"/>
    </w:p>
    <w:p>
      <w:pPr>
        <w:pStyle w:val="Compact"/>
        <w:numPr>
          <w:ilvl w:val="0"/>
          <w:numId w:val="1005"/>
        </w:numPr>
      </w:pPr>
      <w:r>
        <w:rPr>
          <w:b/>
          <w:bCs/>
        </w:rPr>
        <w:t xml:space="preserve">Применимость:</w:t>
      </w:r>
      <w:r>
        <w:t xml:space="preserve"> </w:t>
      </w:r>
      <w:r>
        <w:t xml:space="preserve">действие одним касанием, нажатием, удержанием или отпусканием указателя.</w:t>
      </w:r>
    </w:p>
    <w:p>
      <w:pPr>
        <w:pStyle w:val="Compact"/>
        <w:numPr>
          <w:ilvl w:val="0"/>
          <w:numId w:val="1005"/>
        </w:numPr>
      </w:pPr>
      <w:r>
        <w:rPr>
          <w:b/>
          <w:bCs/>
        </w:rPr>
        <w:t xml:space="preserve">Предусловия:</w:t>
      </w:r>
      <w:r>
        <w:t xml:space="preserve"> </w:t>
      </w:r>
      <w:r>
        <w:t xml:space="preserve">безопасное состояние, в котором действие можно повторить или отменить.</w:t>
      </w:r>
    </w:p>
    <w:p>
      <w:pPr>
        <w:pStyle w:val="Compact"/>
        <w:numPr>
          <w:ilvl w:val="0"/>
          <w:numId w:val="1005"/>
        </w:numPr>
      </w:pPr>
      <w:r>
        <w:rPr>
          <w:b/>
          <w:bCs/>
        </w:rPr>
        <w:t xml:space="preserve">Шаги и параметры:</w:t>
      </w:r>
      <w:r>
        <w:t xml:space="preserve"> </w:t>
      </w:r>
      <w:r>
        <w:t xml:space="preserve">коснуться цели и увести указатель за ее границу до отпускания; проверить момент выполнения; если действие выполняется при касании, проверить отмену или обращение; отдельно исследовать удержание и повтор.</w:t>
      </w:r>
    </w:p>
    <w:p>
      <w:pPr>
        <w:pStyle w:val="Compact"/>
        <w:numPr>
          <w:ilvl w:val="0"/>
          <w:numId w:val="1005"/>
        </w:numPr>
      </w:pPr>
      <w:r>
        <w:rPr>
          <w:b/>
          <w:bCs/>
        </w:rPr>
        <w:t xml:space="preserve">Прохождение/нарушение:</w:t>
      </w:r>
      <w:r>
        <w:t xml:space="preserve"> </w:t>
      </w:r>
      <w:r>
        <w:t xml:space="preserve">проходит, если действие завершается при отпускании с возможностью прервать либо доступно отменить или обратить, кроме точного исключения; нарушение при необратимом выполнении на касании без исключения.</w:t>
      </w:r>
    </w:p>
    <w:p>
      <w:pPr>
        <w:pStyle w:val="Compact"/>
        <w:numPr>
          <w:ilvl w:val="0"/>
          <w:numId w:val="1005"/>
        </w:numPr>
      </w:pPr>
      <w:r>
        <w:rPr>
          <w:b/>
          <w:bCs/>
        </w:rPr>
        <w:t xml:space="preserve">NA/не проверено:</w:t>
      </w:r>
      <w:r>
        <w:t xml:space="preserve"> </w:t>
      </w:r>
      <w:r>
        <w:t xml:space="preserve">NA без управления указателем; не проверено, если действие необратимо и нет разрешенного стенда.</w:t>
      </w:r>
    </w:p>
    <w:p>
      <w:pPr>
        <w:pStyle w:val="Compact"/>
        <w:numPr>
          <w:ilvl w:val="0"/>
          <w:numId w:val="1005"/>
        </w:numPr>
      </w:pPr>
      <w:r>
        <w:rPr>
          <w:b/>
          <w:bCs/>
        </w:rPr>
        <w:t xml:space="preserve">Минимальное доказательство:</w:t>
      </w:r>
      <w:r>
        <w:t xml:space="preserve"> </w:t>
      </w:r>
      <w:r>
        <w:t xml:space="preserve">запись касания, перемещения и отпускания, состояние до и после, механизм отмены либо обоснование исключения.</w:t>
      </w:r>
    </w:p>
    <w:p>
      <w:pPr>
        <w:pStyle w:val="Compact"/>
        <w:numPr>
          <w:ilvl w:val="0"/>
          <w:numId w:val="1005"/>
        </w:numPr>
      </w:pPr>
      <w:r>
        <w:rPr>
          <w:b/>
          <w:bCs/>
        </w:rPr>
        <w:t xml:space="preserve">Нормативная ссылка:</w:t>
      </w:r>
      <w:r>
        <w:t xml:space="preserve"> </w:t>
      </w:r>
      <w:hyperlink r:id="rId29">
        <w:r>
          <w:rPr>
            <w:rStyle w:val="Hyperlink"/>
          </w:rPr>
          <w:t xml:space="preserve">WCAG 2.5.2</w:t>
        </w:r>
      </w:hyperlink>
      <w:r>
        <w:t xml:space="preserve">,</w:t>
      </w:r>
      <w:r>
        <w:t xml:space="preserve"> </w:t>
      </w:r>
      <w:hyperlink r:id="rId21">
        <w:r>
          <w:rPr>
            <w:rStyle w:val="Hyperlink"/>
          </w:rPr>
          <w:t xml:space="preserve">EN 301 549 V4.1.1, 11.2.5.2</w:t>
        </w:r>
      </w:hyperlink>
      <w:r>
        <w:t xml:space="preserve">.</w:t>
      </w:r>
    </w:p>
    <w:p>
      <w:pPr>
        <w:pStyle w:val="Compact"/>
        <w:numPr>
          <w:ilvl w:val="0"/>
          <w:numId w:val="1005"/>
        </w:numPr>
      </w:pPr>
      <w:r>
        <w:rPr>
          <w:b/>
          <w:bCs/>
        </w:rPr>
        <w:t xml:space="preserve">Граница проекта:</w:t>
      </w:r>
      <w:r>
        <w:t xml:space="preserve"> </w:t>
      </w:r>
      <w:r>
        <w:t xml:space="preserve">проверка не требует совершать реальное юридическое, финансовое или иное необратимое действие.</w:t>
      </w:r>
    </w:p>
    <w:bookmarkEnd w:id="30"/>
    <w:bookmarkStart w:id="32" w:name="X32cd7f5e71aadb27f39690de148fb2bd35f4079"/>
    <w:p>
      <w:pPr>
        <w:pStyle w:val="Heading3"/>
      </w:pPr>
      <w:bookmarkStart w:id="1976" w:name="_TocAnchor51_1975"/>
      <w:r>
        <w:t xml:space="preserve">В-05. Перетаскивание и альтернатива без перетаскивания</w:t>
      </w:r>
      <w:bookmarkEnd w:id="1976"/>
    </w:p>
    <w:p>
      <w:pPr>
        <w:pStyle w:val="Compact"/>
        <w:numPr>
          <w:ilvl w:val="0"/>
          <w:numId w:val="1006"/>
        </w:numPr>
      </w:pPr>
      <w:r>
        <w:rPr>
          <w:b/>
          <w:bCs/>
        </w:rPr>
        <w:t xml:space="preserve">Применимость:</w:t>
      </w:r>
      <w:r>
        <w:t xml:space="preserve"> </w:t>
      </w:r>
      <w:r>
        <w:t xml:space="preserve">сортировка, перемещение, ползунок, карта, подбор диапазона или иная функция с перетаскиванием.</w:t>
      </w:r>
    </w:p>
    <w:p>
      <w:pPr>
        <w:pStyle w:val="Compact"/>
        <w:numPr>
          <w:ilvl w:val="0"/>
          <w:numId w:val="1006"/>
        </w:numPr>
      </w:pPr>
      <w:r>
        <w:rPr>
          <w:b/>
          <w:bCs/>
        </w:rPr>
        <w:t xml:space="preserve">Предусловия:</w:t>
      </w:r>
      <w:r>
        <w:t xml:space="preserve"> </w:t>
      </w:r>
      <w:r>
        <w:t xml:space="preserve">безопасные тестовые данные и исходное положение объектов.</w:t>
      </w:r>
    </w:p>
    <w:p>
      <w:pPr>
        <w:pStyle w:val="Compact"/>
        <w:numPr>
          <w:ilvl w:val="0"/>
          <w:numId w:val="1006"/>
        </w:numPr>
      </w:pPr>
      <w:r>
        <w:rPr>
          <w:b/>
          <w:bCs/>
        </w:rPr>
        <w:t xml:space="preserve">Шаги и параметры:</w:t>
      </w:r>
      <w:r>
        <w:t xml:space="preserve"> </w:t>
      </w:r>
      <w:r>
        <w:t xml:space="preserve">выполнить перетаскивание; найти управление одним указателем без перетаскивания, например выбор объекта и отдельную команду положения; выполнить его; проверить программу экранного доступа и применимый протокол Г-12.</w:t>
      </w:r>
    </w:p>
    <w:p>
      <w:pPr>
        <w:pStyle w:val="Compact"/>
        <w:numPr>
          <w:ilvl w:val="0"/>
          <w:numId w:val="1006"/>
        </w:numPr>
      </w:pPr>
      <w:r>
        <w:rPr>
          <w:b/>
          <w:bCs/>
        </w:rPr>
        <w:t xml:space="preserve">Прохождение/нарушение:</w:t>
      </w:r>
      <w:r>
        <w:t xml:space="preserve"> </w:t>
      </w:r>
      <w:r>
        <w:t xml:space="preserve">проходит при равноценном одноточечном способе без перетаскивания либо точном исключении; нарушение при единственном способе через перетаскивание.</w:t>
      </w:r>
    </w:p>
    <w:p>
      <w:pPr>
        <w:pStyle w:val="Compact"/>
        <w:numPr>
          <w:ilvl w:val="0"/>
          <w:numId w:val="1006"/>
        </w:numPr>
      </w:pPr>
      <w:r>
        <w:rPr>
          <w:b/>
          <w:bCs/>
        </w:rPr>
        <w:t xml:space="preserve">NA/не проверено:</w:t>
      </w:r>
      <w:r>
        <w:t xml:space="preserve"> </w:t>
      </w:r>
      <w:r>
        <w:t xml:space="preserve">NA без перетаскивания; не проверено без безопасного состояния или возможности восстановить данные.</w:t>
      </w:r>
    </w:p>
    <w:p>
      <w:pPr>
        <w:pStyle w:val="Compact"/>
        <w:numPr>
          <w:ilvl w:val="0"/>
          <w:numId w:val="1006"/>
        </w:numPr>
      </w:pPr>
      <w:r>
        <w:rPr>
          <w:b/>
          <w:bCs/>
        </w:rPr>
        <w:t xml:space="preserve">Минимальное доказательство:</w:t>
      </w:r>
      <w:r>
        <w:t xml:space="preserve"> </w:t>
      </w:r>
      <w:r>
        <w:t xml:space="preserve">запись обоих способов, начальное и итоговое положение, доступные имена и действия.</w:t>
      </w:r>
    </w:p>
    <w:p>
      <w:pPr>
        <w:pStyle w:val="Compact"/>
        <w:numPr>
          <w:ilvl w:val="0"/>
          <w:numId w:val="1006"/>
        </w:numPr>
      </w:pPr>
      <w:r>
        <w:rPr>
          <w:b/>
          <w:bCs/>
        </w:rPr>
        <w:t xml:space="preserve">Нормативная ссылка:</w:t>
      </w:r>
      <w:r>
        <w:t xml:space="preserve"> </w:t>
      </w:r>
      <w:hyperlink r:id="rId31">
        <w:r>
          <w:rPr>
            <w:rStyle w:val="Hyperlink"/>
          </w:rPr>
          <w:t xml:space="preserve">WCAG 2.5.7</w:t>
        </w:r>
      </w:hyperlink>
      <w:r>
        <w:t xml:space="preserve">,</w:t>
      </w:r>
      <w:r>
        <w:t xml:space="preserve"> </w:t>
      </w:r>
      <w:hyperlink r:id="rId21">
        <w:r>
          <w:rPr>
            <w:rStyle w:val="Hyperlink"/>
          </w:rPr>
          <w:t xml:space="preserve">EN 301 549 V4.1.1, 11.2.5.7</w:t>
        </w:r>
      </w:hyperlink>
      <w:r>
        <w:t xml:space="preserve">.</w:t>
      </w:r>
    </w:p>
    <w:p>
      <w:pPr>
        <w:pStyle w:val="Compact"/>
        <w:numPr>
          <w:ilvl w:val="0"/>
          <w:numId w:val="1006"/>
        </w:numPr>
      </w:pPr>
      <w:r>
        <w:rPr>
          <w:b/>
          <w:bCs/>
        </w:rPr>
        <w:t xml:space="preserve">Граница проекта:</w:t>
      </w:r>
      <w:r>
        <w:t xml:space="preserve"> </w:t>
      </w:r>
      <w:r>
        <w:t xml:space="preserve">действие платформы, не измененное приложением, не приписывается приложению.</w:t>
      </w:r>
    </w:p>
    <w:bookmarkEnd w:id="32"/>
    <w:bookmarkStart w:id="35" w:name="в-06.-размер-и-расстояние-целей"/>
    <w:p>
      <w:pPr>
        <w:pStyle w:val="Heading3"/>
      </w:pPr>
      <w:bookmarkStart w:id="1978" w:name="_TocAnchor60_1977"/>
      <w:r>
        <w:t xml:space="preserve">В-06. Размер и расстояние целей</w:t>
      </w:r>
      <w:bookmarkEnd w:id="1978"/>
    </w:p>
    <w:p>
      <w:pPr>
        <w:pStyle w:val="Compact"/>
        <w:numPr>
          <w:ilvl w:val="0"/>
          <w:numId w:val="1007"/>
        </w:numPr>
      </w:pPr>
      <w:r>
        <w:rPr>
          <w:b/>
          <w:bCs/>
        </w:rPr>
        <w:t xml:space="preserve">Применимость:</w:t>
      </w:r>
      <w:r>
        <w:t xml:space="preserve"> </w:t>
      </w:r>
      <w:r>
        <w:t xml:space="preserve">каждая цель указателя, включая иконки, переключатели, строки списка, области карты и невидимые области касания.</w:t>
      </w:r>
    </w:p>
    <w:p>
      <w:pPr>
        <w:pStyle w:val="Compact"/>
        <w:numPr>
          <w:ilvl w:val="0"/>
          <w:numId w:val="1007"/>
        </w:numPr>
      </w:pPr>
      <w:r>
        <w:rPr>
          <w:b/>
          <w:bCs/>
        </w:rPr>
        <w:t xml:space="preserve">Предусловия:</w:t>
      </w:r>
      <w:r>
        <w:t xml:space="preserve"> </w:t>
      </w:r>
      <w:r>
        <w:t xml:space="preserve">физическое устройство, снимок в исходном масштабе, средство измерения границ целей.</w:t>
      </w:r>
    </w:p>
    <w:p>
      <w:pPr>
        <w:pStyle w:val="Compact"/>
        <w:numPr>
          <w:ilvl w:val="0"/>
          <w:numId w:val="1007"/>
        </w:numPr>
      </w:pPr>
      <w:r>
        <w:rPr>
          <w:b/>
          <w:bCs/>
        </w:rPr>
        <w:t xml:space="preserve">Шаги и параметры:</w:t>
      </w:r>
      <w:r>
        <w:t xml:space="preserve"> </w:t>
      </w:r>
      <w:r>
        <w:t xml:space="preserve">измерить фактическую активную область и расстояние до соседних целей; сопоставить независимые единицы платформы с CSS px; для каждой цели меньше 24 x 24 CSS px проверить одно из пяти исключений: достаточный интервал, эквивалентная цель не меньше 24 x 24 CSS px в том же приложении, цель внутри строки текста, размер задан платформой и не изменен приложением либо конкретный размер существенен или предписан; сравнить статическую разметку с наблюдаемой областью.</w:t>
      </w:r>
    </w:p>
    <w:p>
      <w:pPr>
        <w:pStyle w:val="Compact"/>
        <w:numPr>
          <w:ilvl w:val="0"/>
          <w:numId w:val="1007"/>
        </w:numPr>
      </w:pPr>
      <w:r>
        <w:rPr>
          <w:b/>
          <w:bCs/>
        </w:rPr>
        <w:t xml:space="preserve">Прохождение/нарушение:</w:t>
      </w:r>
      <w:r>
        <w:t xml:space="preserve"> </w:t>
      </w:r>
      <w:r>
        <w:t xml:space="preserve">проходит при фактической области не менее 24 x 24 CSS px или подтвержденном исключении; нарушение при меньшей области без исключения.</w:t>
      </w:r>
    </w:p>
    <w:p>
      <w:pPr>
        <w:pStyle w:val="Compact"/>
        <w:numPr>
          <w:ilvl w:val="0"/>
          <w:numId w:val="1007"/>
        </w:numPr>
      </w:pPr>
      <w:r>
        <w:rPr>
          <w:b/>
          <w:bCs/>
        </w:rPr>
        <w:t xml:space="preserve">NA/не проверено:</w:t>
      </w:r>
      <w:r>
        <w:t xml:space="preserve"> </w:t>
      </w:r>
      <w:r>
        <w:t xml:space="preserve">NA без целей указателя; не проверено при невозможности установить область активации или соответствие единиц.</w:t>
      </w:r>
    </w:p>
    <w:p>
      <w:pPr>
        <w:pStyle w:val="Compact"/>
        <w:numPr>
          <w:ilvl w:val="0"/>
          <w:numId w:val="1007"/>
        </w:numPr>
      </w:pPr>
      <w:r>
        <w:rPr>
          <w:b/>
          <w:bCs/>
        </w:rPr>
        <w:t xml:space="preserve">Минимальное доказательство:</w:t>
      </w:r>
      <w:r>
        <w:t xml:space="preserve"> </w:t>
      </w:r>
      <w:r>
        <w:t xml:space="preserve">снимок с границами и размерами, коэффициент сопоставления единиц, соседние цели и примененное исключение.</w:t>
      </w:r>
    </w:p>
    <w:p>
      <w:pPr>
        <w:pStyle w:val="Compact"/>
        <w:numPr>
          <w:ilvl w:val="0"/>
          <w:numId w:val="1007"/>
        </w:numPr>
      </w:pPr>
      <w:r>
        <w:rPr>
          <w:b/>
          <w:bCs/>
        </w:rPr>
        <w:t xml:space="preserve">Нормативная ссылка:</w:t>
      </w:r>
      <w:r>
        <w:t xml:space="preserve"> </w:t>
      </w:r>
      <w:hyperlink r:id="rId33">
        <w:r>
          <w:rPr>
            <w:rStyle w:val="Hyperlink"/>
          </w:rPr>
          <w:t xml:space="preserve">WCAG 2.5.8</w:t>
        </w:r>
      </w:hyperlink>
      <w:r>
        <w:t xml:space="preserve">,</w:t>
      </w:r>
      <w:r>
        <w:t xml:space="preserve"> </w:t>
      </w:r>
      <w:hyperlink r:id="rId21">
        <w:r>
          <w:rPr>
            <w:rStyle w:val="Hyperlink"/>
          </w:rPr>
          <w:t xml:space="preserve">EN 301 549 V4.1.1, 11.2.5.8</w:t>
        </w:r>
      </w:hyperlink>
      <w:r>
        <w:t xml:space="preserve">.</w:t>
      </w:r>
    </w:p>
    <w:p>
      <w:pPr>
        <w:pStyle w:val="Compact"/>
        <w:numPr>
          <w:ilvl w:val="0"/>
          <w:numId w:val="1007"/>
        </w:numPr>
      </w:pPr>
      <w:r>
        <w:rPr>
          <w:b/>
          <w:bCs/>
        </w:rPr>
        <w:t xml:space="preserve">Граница проекта:</w:t>
      </w:r>
      <w:r>
        <w:t xml:space="preserve"> </w:t>
      </w:r>
      <w:hyperlink r:id="rId34">
        <w:r>
          <w:rPr>
            <w:rStyle w:val="Hyperlink"/>
          </w:rPr>
          <w:t xml:space="preserve">WCAG2ICT, 2.5.8</w:t>
        </w:r>
      </w:hyperlink>
      <w:r>
        <w:t xml:space="preserve"> </w:t>
      </w:r>
      <w:r>
        <w:t xml:space="preserve">используется как информативное пояснение сопоставления единиц. Более строгий минимум из рекомендаций платформы является</w:t>
      </w:r>
      <w:r>
        <w:t xml:space="preserve"> </w:t>
      </w:r>
      <w:r>
        <w:rPr>
          <w:b/>
          <w:bCs/>
        </w:rPr>
        <w:t xml:space="preserve">Предложением проекта</w:t>
      </w:r>
      <w:r>
        <w:t xml:space="preserve"> </w:t>
      </w:r>
      <w:r>
        <w:t xml:space="preserve">и записывается отдельным профилем.</w:t>
      </w:r>
    </w:p>
    <w:bookmarkEnd w:id="35"/>
    <w:bookmarkStart w:id="38" w:name="в-07.-увеличение-текста-и-перекомпоновка"/>
    <w:p>
      <w:pPr>
        <w:pStyle w:val="Heading3"/>
      </w:pPr>
      <w:bookmarkStart w:id="1980" w:name="_TocAnchor69_1979"/>
      <w:r>
        <w:t xml:space="preserve">В-07. Увеличение текста и перекомпоновка</w:t>
      </w:r>
      <w:bookmarkEnd w:id="1980"/>
    </w:p>
    <w:p>
      <w:pPr>
        <w:pStyle w:val="Compact"/>
        <w:numPr>
          <w:ilvl w:val="0"/>
          <w:numId w:val="1008"/>
        </w:numPr>
      </w:pPr>
      <w:r>
        <w:rPr>
          <w:b/>
          <w:bCs/>
        </w:rPr>
        <w:t xml:space="preserve">Применимость:</w:t>
      </w:r>
      <w:r>
        <w:t xml:space="preserve"> </w:t>
      </w:r>
      <w:r>
        <w:t xml:space="preserve">экраны с текстом, подписями, полями, сообщениями и кнопками.</w:t>
      </w:r>
    </w:p>
    <w:p>
      <w:pPr>
        <w:pStyle w:val="Compact"/>
        <w:numPr>
          <w:ilvl w:val="0"/>
          <w:numId w:val="1008"/>
        </w:numPr>
      </w:pPr>
      <w:r>
        <w:rPr>
          <w:b/>
          <w:bCs/>
        </w:rPr>
        <w:t xml:space="preserve">Предусловия:</w:t>
      </w:r>
      <w:r>
        <w:t xml:space="preserve"> </w:t>
      </w:r>
      <w:r>
        <w:t xml:space="preserve">исходное состояние при обычном размере; конфигурация увеличения текста; способ получить область содержимого шириной, эквивалентной 320 CSS px, а для горизонтально прокручиваемого содержимого высотой 256 CSS px.</w:t>
      </w:r>
    </w:p>
    <w:p>
      <w:pPr>
        <w:pStyle w:val="Compact"/>
        <w:numPr>
          <w:ilvl w:val="0"/>
          <w:numId w:val="1008"/>
        </w:numPr>
      </w:pPr>
      <w:r>
        <w:rPr>
          <w:b/>
          <w:bCs/>
        </w:rPr>
        <w:t xml:space="preserve">Шаги и параметры:</w:t>
      </w:r>
      <w:r>
        <w:t xml:space="preserve"> </w:t>
      </w:r>
      <w:r>
        <w:t xml:space="preserve">отдельно выполнить два теста. Увеличение текста: пройти те же экраны и действия при увеличении до 200 процентов, если платформа его поддерживает, и при максимальном системном размере. Перекомпоновка: установить область шириной 320 CSS px для вертикально прокручиваемого содержимого или высотой 256 CSS px для горизонтально прокручиваемого, затем проверить потерю информации и функций и необходимость прокрутки в двух измерениях; исключить только части, для использования или смысла которых существенна двухмерная компоновка. В обоих тестах проверить поля, ошибки, кнопки и открытую экранную клавиатуру; выполнить применимый протокол Г-09.</w:t>
      </w:r>
    </w:p>
    <w:p>
      <w:pPr>
        <w:pStyle w:val="Compact"/>
        <w:numPr>
          <w:ilvl w:val="0"/>
          <w:numId w:val="1008"/>
        </w:numPr>
      </w:pPr>
      <w:r>
        <w:rPr>
          <w:b/>
          <w:bCs/>
        </w:rPr>
        <w:t xml:space="preserve">Прохождение/нарушение:</w:t>
      </w:r>
      <w:r>
        <w:t xml:space="preserve"> </w:t>
      </w:r>
      <w:r>
        <w:t xml:space="preserve">увеличение проходит, если текст увеличивается и остается читаемым без потери содержания и функций. Перекомпоновка проходит, если при 320 CSS px по ширине или 256 CSS px по высоте нет потери информации и функций и непредусмотренной двухмерной прокрутки. Нарушение записывается отдельно по невыполненному подрезультату.</w:t>
      </w:r>
    </w:p>
    <w:p>
      <w:pPr>
        <w:pStyle w:val="Compact"/>
        <w:numPr>
          <w:ilvl w:val="0"/>
          <w:numId w:val="1008"/>
        </w:numPr>
      </w:pPr>
      <w:r>
        <w:rPr>
          <w:b/>
          <w:bCs/>
        </w:rPr>
        <w:t xml:space="preserve">NA/не проверено:</w:t>
      </w:r>
      <w:r>
        <w:t xml:space="preserve"> </w:t>
      </w:r>
      <w:r>
        <w:t xml:space="preserve">увеличение получает NA только для состояния без текста; перекомпоновка получает NA только для части с существенной двухмерной компоновкой. Если платформа или стенд не позволяет достичь 320 CSS px по ширине или 256 CSS px по высоте, подрезультат перекомпоновки имеет статус «не проверено», а ближайший размер можно записать только как дополнительное наблюдение.</w:t>
      </w:r>
    </w:p>
    <w:p>
      <w:pPr>
        <w:pStyle w:val="Compact"/>
        <w:numPr>
          <w:ilvl w:val="0"/>
          <w:numId w:val="1008"/>
        </w:numPr>
      </w:pPr>
      <w:r>
        <w:rPr>
          <w:b/>
          <w:bCs/>
        </w:rPr>
        <w:t xml:space="preserve">Минимальное доказательство:</w:t>
      </w:r>
      <w:r>
        <w:t xml:space="preserve"> </w:t>
      </w:r>
      <w:r>
        <w:t xml:space="preserve">отдельные парные снимки и значения настройки для увеличения; размер области в CSS px, направление прокрутки и запись сохраненной либо потерянной функции для перекомпоновки.</w:t>
      </w:r>
    </w:p>
    <w:p>
      <w:pPr>
        <w:pStyle w:val="Compact"/>
        <w:numPr>
          <w:ilvl w:val="0"/>
          <w:numId w:val="1008"/>
        </w:numPr>
      </w:pPr>
      <w:r>
        <w:rPr>
          <w:b/>
          <w:bCs/>
        </w:rPr>
        <w:t xml:space="preserve">Нормативная ссылка:</w:t>
      </w:r>
      <w:r>
        <w:t xml:space="preserve"> </w:t>
      </w:r>
      <w:hyperlink r:id="rId36">
        <w:r>
          <w:rPr>
            <w:rStyle w:val="Hyperlink"/>
          </w:rPr>
          <w:t xml:space="preserve">WCAG 1.4.4</w:t>
        </w:r>
      </w:hyperlink>
      <w:r>
        <w:t xml:space="preserve">,</w:t>
      </w:r>
      <w:r>
        <w:t xml:space="preserve"> </w:t>
      </w:r>
      <w:hyperlink r:id="rId37">
        <w:r>
          <w:rPr>
            <w:rStyle w:val="Hyperlink"/>
          </w:rPr>
          <w:t xml:space="preserve">1.4.10</w:t>
        </w:r>
      </w:hyperlink>
      <w:r>
        <w:t xml:space="preserve">,</w:t>
      </w:r>
      <w:r>
        <w:t xml:space="preserve"> </w:t>
      </w:r>
      <w:hyperlink r:id="rId21">
        <w:r>
          <w:rPr>
            <w:rStyle w:val="Hyperlink"/>
          </w:rPr>
          <w:t xml:space="preserve">EN 301 549 V4.1.1, 11.1.4.4, 11.1.4.10 и 11.7</w:t>
        </w:r>
      </w:hyperlink>
      <w:r>
        <w:t xml:space="preserve">.</w:t>
      </w:r>
    </w:p>
    <w:p>
      <w:pPr>
        <w:pStyle w:val="Compact"/>
        <w:numPr>
          <w:ilvl w:val="0"/>
          <w:numId w:val="1008"/>
        </w:numPr>
      </w:pPr>
      <w:r>
        <w:rPr>
          <w:b/>
          <w:bCs/>
        </w:rPr>
        <w:t xml:space="preserve">Граница проекта:</w:t>
      </w:r>
      <w:r>
        <w:t xml:space="preserve"> </w:t>
      </w:r>
      <w:r>
        <w:t xml:space="preserve">статический размер текста в пакете является признаком для отбора, а не итоговым нарушением.</w:t>
      </w:r>
    </w:p>
    <w:bookmarkEnd w:id="38"/>
    <w:bookmarkStart w:id="40" w:name="в-08.-книжная-и-альбомная-ориентации"/>
    <w:p>
      <w:pPr>
        <w:pStyle w:val="Heading3"/>
      </w:pPr>
      <w:bookmarkStart w:id="1982" w:name="_TocAnchor78_1981"/>
      <w:r>
        <w:t xml:space="preserve">В-08. Книжная и альбомная ориентации</w:t>
      </w:r>
      <w:bookmarkEnd w:id="1982"/>
    </w:p>
    <w:p>
      <w:pPr>
        <w:pStyle w:val="Compact"/>
        <w:numPr>
          <w:ilvl w:val="0"/>
          <w:numId w:val="1009"/>
        </w:numPr>
      </w:pPr>
      <w:r>
        <w:rPr>
          <w:b/>
          <w:bCs/>
        </w:rPr>
        <w:t xml:space="preserve">Применимость:</w:t>
      </w:r>
      <w:r>
        <w:t xml:space="preserve"> </w:t>
      </w:r>
      <w:r>
        <w:t xml:space="preserve">приложение на устройстве, рассчитанном на изменение ориентации.</w:t>
      </w:r>
    </w:p>
    <w:p>
      <w:pPr>
        <w:pStyle w:val="Compact"/>
        <w:numPr>
          <w:ilvl w:val="0"/>
          <w:numId w:val="1009"/>
        </w:numPr>
      </w:pPr>
      <w:r>
        <w:rPr>
          <w:b/>
          <w:bCs/>
        </w:rPr>
        <w:t xml:space="preserve">Предусловия:</w:t>
      </w:r>
      <w:r>
        <w:t xml:space="preserve"> </w:t>
      </w:r>
      <w:r>
        <w:t xml:space="preserve">один и тот же экран и данные, автоматический поворот включен.</w:t>
      </w:r>
    </w:p>
    <w:p>
      <w:pPr>
        <w:pStyle w:val="Compact"/>
        <w:numPr>
          <w:ilvl w:val="0"/>
          <w:numId w:val="1009"/>
        </w:numPr>
      </w:pPr>
      <w:r>
        <w:rPr>
          <w:b/>
          <w:bCs/>
        </w:rPr>
        <w:t xml:space="preserve">Шаги и параметры:</w:t>
      </w:r>
      <w:r>
        <w:t xml:space="preserve"> </w:t>
      </w:r>
      <w:r>
        <w:t xml:space="preserve">открыть экран в книжной ориентации, перейти к контрольному элементу и повернуть устройство; повторить в обратную сторону; проверить содержание, функции, фокус, клавиатуру и сохранение введенного; отдельно проверить заявленное исключение.</w:t>
      </w:r>
    </w:p>
    <w:p>
      <w:pPr>
        <w:pStyle w:val="Compact"/>
        <w:numPr>
          <w:ilvl w:val="0"/>
          <w:numId w:val="1009"/>
        </w:numPr>
      </w:pPr>
      <w:r>
        <w:rPr>
          <w:b/>
          <w:bCs/>
        </w:rPr>
        <w:t xml:space="preserve">Прохождение/нарушение:</w:t>
      </w:r>
      <w:r>
        <w:t xml:space="preserve"> </w:t>
      </w:r>
      <w:r>
        <w:t xml:space="preserve">проходит, если обе ориентации доступны без потери содержания и функций либо конкретная ориентация существенна; нарушение при программном запрете или потере без существенности.</w:t>
      </w:r>
    </w:p>
    <w:p>
      <w:pPr>
        <w:pStyle w:val="Compact"/>
        <w:numPr>
          <w:ilvl w:val="0"/>
          <w:numId w:val="1009"/>
        </w:numPr>
      </w:pPr>
      <w:r>
        <w:rPr>
          <w:b/>
          <w:bCs/>
        </w:rPr>
        <w:t xml:space="preserve">NA/не проверено:</w:t>
      </w:r>
      <w:r>
        <w:t xml:space="preserve"> </w:t>
      </w:r>
      <w:r>
        <w:t xml:space="preserve">NA только для оборудования, не рассчитанного на изменение ориентации, или отсутствующей функции; доказанно существенная ориентация является прохождением с обоснованным исключением; не проверено, если поворот заблокирован внешней политикой устройства.</w:t>
      </w:r>
    </w:p>
    <w:p>
      <w:pPr>
        <w:pStyle w:val="Compact"/>
        <w:numPr>
          <w:ilvl w:val="0"/>
          <w:numId w:val="1009"/>
        </w:numPr>
      </w:pPr>
      <w:r>
        <w:rPr>
          <w:b/>
          <w:bCs/>
        </w:rPr>
        <w:t xml:space="preserve">Минимальное доказательство:</w:t>
      </w:r>
      <w:r>
        <w:t xml:space="preserve"> </w:t>
      </w:r>
      <w:r>
        <w:t xml:space="preserve">снимки обеих ориентаций, состояние до и после, данные манифеста как дополнительный признак и обоснование исключения.</w:t>
      </w:r>
    </w:p>
    <w:p>
      <w:pPr>
        <w:pStyle w:val="Compact"/>
        <w:numPr>
          <w:ilvl w:val="0"/>
          <w:numId w:val="1009"/>
        </w:numPr>
      </w:pPr>
      <w:r>
        <w:rPr>
          <w:b/>
          <w:bCs/>
        </w:rPr>
        <w:t xml:space="preserve">Нормативная ссылка:</w:t>
      </w:r>
      <w:r>
        <w:t xml:space="preserve"> </w:t>
      </w:r>
      <w:hyperlink r:id="rId39">
        <w:r>
          <w:rPr>
            <w:rStyle w:val="Hyperlink"/>
          </w:rPr>
          <w:t xml:space="preserve">WCAG 1.3.4</w:t>
        </w:r>
      </w:hyperlink>
      <w:r>
        <w:t xml:space="preserve">,</w:t>
      </w:r>
      <w:r>
        <w:t xml:space="preserve"> </w:t>
      </w:r>
      <w:hyperlink r:id="rId21">
        <w:r>
          <w:rPr>
            <w:rStyle w:val="Hyperlink"/>
          </w:rPr>
          <w:t xml:space="preserve">EN 301 549 V4.1.1, 11.1.3.4</w:t>
        </w:r>
      </w:hyperlink>
      <w:r>
        <w:t xml:space="preserve">.</w:t>
      </w:r>
    </w:p>
    <w:p>
      <w:pPr>
        <w:pStyle w:val="Compact"/>
        <w:numPr>
          <w:ilvl w:val="0"/>
          <w:numId w:val="1009"/>
        </w:numPr>
      </w:pPr>
      <w:r>
        <w:rPr>
          <w:b/>
          <w:bCs/>
        </w:rPr>
        <w:t xml:space="preserve">Граница проекта:</w:t>
      </w:r>
      <w:r>
        <w:t xml:space="preserve"> </w:t>
      </w:r>
      <w:r>
        <w:t xml:space="preserve">портретное оформление не является доказательством существенности портретной ориентации.</w:t>
      </w:r>
    </w:p>
    <w:bookmarkEnd w:id="40"/>
    <w:bookmarkStart w:id="42" w:name="Xb6c5e52f11fc6835cfc08320df0adab74a5a8f1"/>
    <w:p>
      <w:pPr>
        <w:pStyle w:val="Heading3"/>
      </w:pPr>
      <w:bookmarkStart w:id="1984" w:name="_TocAnchor87_1983"/>
      <w:r>
        <w:t xml:space="preserve">В-09. Движение устройства и доступная альтернатива</w:t>
      </w:r>
      <w:bookmarkEnd w:id="1984"/>
    </w:p>
    <w:p>
      <w:pPr>
        <w:pStyle w:val="Compact"/>
        <w:numPr>
          <w:ilvl w:val="0"/>
          <w:numId w:val="1010"/>
        </w:numPr>
      </w:pPr>
      <w:r>
        <w:rPr>
          <w:b/>
          <w:bCs/>
        </w:rPr>
        <w:t xml:space="preserve">Применимость:</w:t>
      </w:r>
      <w:r>
        <w:t xml:space="preserve"> </w:t>
      </w:r>
      <w:r>
        <w:t xml:space="preserve">встряхивание, наклон, поворот, движение камеры или пользователя, запускающее функцию.</w:t>
      </w:r>
    </w:p>
    <w:p>
      <w:pPr>
        <w:pStyle w:val="Compact"/>
        <w:numPr>
          <w:ilvl w:val="0"/>
          <w:numId w:val="1010"/>
        </w:numPr>
      </w:pPr>
      <w:r>
        <w:rPr>
          <w:b/>
          <w:bCs/>
        </w:rPr>
        <w:t xml:space="preserve">Предусловия:</w:t>
      </w:r>
      <w:r>
        <w:t xml:space="preserve"> </w:t>
      </w:r>
      <w:r>
        <w:t xml:space="preserve">физическое устройство, перечень функций движения и безопасные тестовые данные.</w:t>
      </w:r>
    </w:p>
    <w:p>
      <w:pPr>
        <w:pStyle w:val="Compact"/>
        <w:numPr>
          <w:ilvl w:val="0"/>
          <w:numId w:val="1010"/>
        </w:numPr>
      </w:pPr>
      <w:r>
        <w:rPr>
          <w:b/>
          <w:bCs/>
        </w:rPr>
        <w:t xml:space="preserve">Шаги и параметры:</w:t>
      </w:r>
      <w:r>
        <w:t xml:space="preserve"> </w:t>
      </w:r>
      <w:r>
        <w:t xml:space="preserve">вызвать функцию движением; найти и выполнить управление через интерфейс; отключить реакцию на движение, если она не относится к поддерживаемой функции доступности; повторить действие.</w:t>
      </w:r>
    </w:p>
    <w:p>
      <w:pPr>
        <w:pStyle w:val="Compact"/>
        <w:numPr>
          <w:ilvl w:val="0"/>
          <w:numId w:val="1010"/>
        </w:numPr>
      </w:pPr>
      <w:r>
        <w:rPr>
          <w:b/>
          <w:bCs/>
        </w:rPr>
        <w:t xml:space="preserve">Прохождение/нарушение:</w:t>
      </w:r>
      <w:r>
        <w:t xml:space="preserve"> </w:t>
      </w:r>
      <w:r>
        <w:t xml:space="preserve">проходит при равноценном интерфейсном управлении и возможности отключить реакцию, кроме исключений критерия; нарушение при обязательном движении без альтернативы или отключения.</w:t>
      </w:r>
    </w:p>
    <w:p>
      <w:pPr>
        <w:pStyle w:val="Compact"/>
        <w:numPr>
          <w:ilvl w:val="0"/>
          <w:numId w:val="1010"/>
        </w:numPr>
      </w:pPr>
      <w:r>
        <w:rPr>
          <w:b/>
          <w:bCs/>
        </w:rPr>
        <w:t xml:space="preserve">NA/не проверено:</w:t>
      </w:r>
      <w:r>
        <w:t xml:space="preserve"> </w:t>
      </w:r>
      <w:r>
        <w:t xml:space="preserve">NA при отсутствии функций движения; не проверено на эмуляторе или без нужного датчика.</w:t>
      </w:r>
    </w:p>
    <w:p>
      <w:pPr>
        <w:pStyle w:val="Compact"/>
        <w:numPr>
          <w:ilvl w:val="0"/>
          <w:numId w:val="1010"/>
        </w:numPr>
      </w:pPr>
      <w:r>
        <w:rPr>
          <w:b/>
          <w:bCs/>
        </w:rPr>
        <w:t xml:space="preserve">Минимальное доказательство:</w:t>
      </w:r>
      <w:r>
        <w:t xml:space="preserve"> </w:t>
      </w:r>
      <w:r>
        <w:t xml:space="preserve">запись движения, альтернативы и настройки, итог каждого пути.</w:t>
      </w:r>
    </w:p>
    <w:p>
      <w:pPr>
        <w:pStyle w:val="Compact"/>
        <w:numPr>
          <w:ilvl w:val="0"/>
          <w:numId w:val="1010"/>
        </w:numPr>
      </w:pPr>
      <w:r>
        <w:rPr>
          <w:b/>
          <w:bCs/>
        </w:rPr>
        <w:t xml:space="preserve">Нормативная ссылка:</w:t>
      </w:r>
      <w:r>
        <w:t xml:space="preserve"> </w:t>
      </w:r>
      <w:hyperlink r:id="rId41">
        <w:r>
          <w:rPr>
            <w:rStyle w:val="Hyperlink"/>
          </w:rPr>
          <w:t xml:space="preserve">WCAG 2.5.4</w:t>
        </w:r>
      </w:hyperlink>
      <w:r>
        <w:t xml:space="preserve">,</w:t>
      </w:r>
      <w:r>
        <w:t xml:space="preserve"> </w:t>
      </w:r>
      <w:hyperlink r:id="rId21">
        <w:r>
          <w:rPr>
            <w:rStyle w:val="Hyperlink"/>
          </w:rPr>
          <w:t xml:space="preserve">EN 301 549 V4.1.1, 11.2.5.4</w:t>
        </w:r>
      </w:hyperlink>
      <w:r>
        <w:t xml:space="preserve">.</w:t>
      </w:r>
    </w:p>
    <w:p>
      <w:pPr>
        <w:pStyle w:val="Compact"/>
        <w:numPr>
          <w:ilvl w:val="0"/>
          <w:numId w:val="1010"/>
        </w:numPr>
      </w:pPr>
      <w:r>
        <w:rPr>
          <w:b/>
          <w:bCs/>
        </w:rPr>
        <w:t xml:space="preserve">Граница проекта:</w:t>
      </w:r>
      <w:r>
        <w:t xml:space="preserve"> </w:t>
      </w:r>
      <w:r>
        <w:t xml:space="preserve">вибрация как обратная связь проверяется отдельно и не считается управлением движением.</w:t>
      </w:r>
    </w:p>
    <w:bookmarkEnd w:id="42"/>
    <w:bookmarkStart w:id="46" w:name="в-10.-контраст-и-независимость-от-цвета"/>
    <w:p>
      <w:pPr>
        <w:pStyle w:val="Heading3"/>
      </w:pPr>
      <w:bookmarkStart w:id="1986" w:name="_TocAnchor96_1985"/>
      <w:r>
        <w:t xml:space="preserve">В-10. Контраст и независимость от цвета</w:t>
      </w:r>
      <w:bookmarkEnd w:id="1986"/>
    </w:p>
    <w:p>
      <w:pPr>
        <w:pStyle w:val="Compact"/>
        <w:numPr>
          <w:ilvl w:val="0"/>
          <w:numId w:val="1011"/>
        </w:numPr>
      </w:pPr>
      <w:r>
        <w:rPr>
          <w:b/>
          <w:bCs/>
        </w:rPr>
        <w:t xml:space="preserve">Применимость:</w:t>
      </w:r>
      <w:r>
        <w:t xml:space="preserve"> </w:t>
      </w:r>
      <w:r>
        <w:t xml:space="preserve">текст, иконки, графика, границы полей, фокус, выбранные, ошибочные и отключенные состояния.</w:t>
      </w:r>
    </w:p>
    <w:p>
      <w:pPr>
        <w:pStyle w:val="Compact"/>
        <w:numPr>
          <w:ilvl w:val="0"/>
          <w:numId w:val="1011"/>
        </w:numPr>
      </w:pPr>
      <w:r>
        <w:rPr>
          <w:b/>
          <w:bCs/>
        </w:rPr>
        <w:t xml:space="preserve">Предусловия:</w:t>
      </w:r>
      <w:r>
        <w:t xml:space="preserve"> </w:t>
      </w:r>
      <w:r>
        <w:t xml:space="preserve">снимки без наложения системного фильтра, известные цвета или измеримые пиксели, все значимые состояния.</w:t>
      </w:r>
    </w:p>
    <w:p>
      <w:pPr>
        <w:pStyle w:val="Compact"/>
        <w:numPr>
          <w:ilvl w:val="0"/>
          <w:numId w:val="1011"/>
        </w:numPr>
      </w:pPr>
      <w:r>
        <w:rPr>
          <w:b/>
          <w:bCs/>
        </w:rPr>
        <w:t xml:space="preserve">Шаги и параметры:</w:t>
      </w:r>
      <w:r>
        <w:t xml:space="preserve"> </w:t>
      </w:r>
      <w:r>
        <w:t xml:space="preserve">измерить контраст обычного и крупного текста; крупным считать текст не менее 18 pt либо не менее 14 pt при полужирном начертании. Проверить значимую нетекстовую графику, границы и состояния компонентов; для текста проверить исключения для логотипов и случайного текста; для нетекстовых элементов проверить исключения для неактивных или заданных платформой неизмененных компонентов и существенного графического представления; включить заявленные цветовые режимы; скрыть цветовой канал и установить, остается ли смысл; выполнить применимый протокол Г-10.</w:t>
      </w:r>
    </w:p>
    <w:p>
      <w:pPr>
        <w:pStyle w:val="Compact"/>
        <w:numPr>
          <w:ilvl w:val="0"/>
          <w:numId w:val="1011"/>
        </w:numPr>
      </w:pPr>
      <w:r>
        <w:rPr>
          <w:b/>
          <w:bCs/>
        </w:rPr>
        <w:t xml:space="preserve">Прохождение/нарушение:</w:t>
      </w:r>
      <w:r>
        <w:t xml:space="preserve"> </w:t>
      </w:r>
      <w:r>
        <w:t xml:space="preserve">проходит, если обычный текст и изображения текста имеют коэффициент не менее 4,5:1, крупный текст не менее 3:1, а визуальная информация, необходимая для различения компонентов, состояний и графических объектов, не менее 3:1 к соседним цветам, либо применено точное исключение; цвет не является единственным способом передать смысл. Нарушение при меньшем коэффициенте без исключения или потере смысла без цвета.</w:t>
      </w:r>
    </w:p>
    <w:p>
      <w:pPr>
        <w:pStyle w:val="Compact"/>
        <w:numPr>
          <w:ilvl w:val="0"/>
          <w:numId w:val="1011"/>
        </w:numPr>
      </w:pPr>
      <w:r>
        <w:rPr>
          <w:b/>
          <w:bCs/>
        </w:rPr>
        <w:t xml:space="preserve">NA/не проверено:</w:t>
      </w:r>
      <w:r>
        <w:t xml:space="preserve"> </w:t>
      </w:r>
      <w:r>
        <w:t xml:space="preserve">NA только для отсутствующего вида содержимого; не проверено, если фон или состояние невозможно надежно воспроизвести.</w:t>
      </w:r>
    </w:p>
    <w:p>
      <w:pPr>
        <w:pStyle w:val="Compact"/>
        <w:numPr>
          <w:ilvl w:val="0"/>
          <w:numId w:val="1011"/>
        </w:numPr>
      </w:pPr>
      <w:r>
        <w:rPr>
          <w:b/>
          <w:bCs/>
        </w:rPr>
        <w:t xml:space="preserve">Минимальное доказательство:</w:t>
      </w:r>
      <w:r>
        <w:t xml:space="preserve"> </w:t>
      </w:r>
      <w:r>
        <w:t xml:space="preserve">снимок, пары цветов, расчет коэффициента, состояние и нецветовой признак.</w:t>
      </w:r>
    </w:p>
    <w:p>
      <w:pPr>
        <w:pStyle w:val="Compact"/>
        <w:numPr>
          <w:ilvl w:val="0"/>
          <w:numId w:val="1011"/>
        </w:numPr>
      </w:pPr>
      <w:r>
        <w:rPr>
          <w:b/>
          <w:bCs/>
        </w:rPr>
        <w:t xml:space="preserve">Нормативная ссылка:</w:t>
      </w:r>
      <w:r>
        <w:t xml:space="preserve"> </w:t>
      </w:r>
      <w:hyperlink r:id="rId43">
        <w:r>
          <w:rPr>
            <w:rStyle w:val="Hyperlink"/>
          </w:rPr>
          <w:t xml:space="preserve">WCAG 1.4.1</w:t>
        </w:r>
      </w:hyperlink>
      <w:r>
        <w:t xml:space="preserve">,</w:t>
      </w:r>
      <w:r>
        <w:t xml:space="preserve"> </w:t>
      </w:r>
      <w:hyperlink r:id="rId44">
        <w:r>
          <w:rPr>
            <w:rStyle w:val="Hyperlink"/>
          </w:rPr>
          <w:t xml:space="preserve">1.4.3</w:t>
        </w:r>
      </w:hyperlink>
      <w:r>
        <w:t xml:space="preserve">,</w:t>
      </w:r>
      <w:r>
        <w:t xml:space="preserve"> </w:t>
      </w:r>
      <w:hyperlink r:id="rId45">
        <w:r>
          <w:rPr>
            <w:rStyle w:val="Hyperlink"/>
          </w:rPr>
          <w:t xml:space="preserve">1.4.11</w:t>
        </w:r>
      </w:hyperlink>
      <w:r>
        <w:t xml:space="preserve">,</w:t>
      </w:r>
      <w:r>
        <w:t xml:space="preserve"> </w:t>
      </w:r>
      <w:hyperlink r:id="rId21">
        <w:r>
          <w:rPr>
            <w:rStyle w:val="Hyperlink"/>
          </w:rPr>
          <w:t xml:space="preserve">EN 301 549 V4.1.1, 11.1.4.1, 11.1.4.3 и 11.1.4.11</w:t>
        </w:r>
      </w:hyperlink>
      <w:r>
        <w:t xml:space="preserve">.</w:t>
      </w:r>
    </w:p>
    <w:p>
      <w:pPr>
        <w:pStyle w:val="Compact"/>
        <w:numPr>
          <w:ilvl w:val="0"/>
          <w:numId w:val="1011"/>
        </w:numPr>
      </w:pPr>
      <w:r>
        <w:rPr>
          <w:b/>
          <w:bCs/>
        </w:rPr>
        <w:t xml:space="preserve">Граница проекта:</w:t>
      </w:r>
      <w:r>
        <w:t xml:space="preserve"> </w:t>
      </w:r>
      <w:r>
        <w:t xml:space="preserve">системная инверсия не исправляет недостаточный исходный контраст приложения.</w:t>
      </w:r>
    </w:p>
    <w:bookmarkEnd w:id="46"/>
    <w:bookmarkStart w:id="49" w:name="Xb86147cc5ed52209f3a145f25f81e42a3c08a73"/>
    <w:p>
      <w:pPr>
        <w:pStyle w:val="Heading3"/>
      </w:pPr>
      <w:bookmarkStart w:id="1988" w:name="_TocAnchor105_1987"/>
      <w:r>
        <w:t xml:space="preserve">В-11. Уведомления, ошибки, прогресс и сообщения о состоянии</w:t>
      </w:r>
      <w:bookmarkEnd w:id="1988"/>
    </w:p>
    <w:p>
      <w:pPr>
        <w:pStyle w:val="Compact"/>
        <w:numPr>
          <w:ilvl w:val="0"/>
          <w:numId w:val="1012"/>
        </w:numPr>
      </w:pPr>
      <w:r>
        <w:rPr>
          <w:b/>
          <w:bCs/>
        </w:rPr>
        <w:t xml:space="preserve">Применимость:</w:t>
      </w:r>
      <w:r>
        <w:t xml:space="preserve"> </w:t>
      </w:r>
      <w:r>
        <w:t xml:space="preserve">загрузка, фильтрация, результат, сохранение, ошибка, фоновая операция, системное и внутреннее уведомление.</w:t>
      </w:r>
    </w:p>
    <w:p>
      <w:pPr>
        <w:pStyle w:val="Compact"/>
        <w:numPr>
          <w:ilvl w:val="0"/>
          <w:numId w:val="1012"/>
        </w:numPr>
      </w:pPr>
      <w:r>
        <w:rPr>
          <w:b/>
          <w:bCs/>
        </w:rPr>
        <w:t xml:space="preserve">Предусловия:</w:t>
      </w:r>
      <w:r>
        <w:t xml:space="preserve"> </w:t>
      </w:r>
      <w:r>
        <w:t xml:space="preserve">разрешенное состояние, в котором каждое сообщение можно безопасно вызвать.</w:t>
      </w:r>
    </w:p>
    <w:p>
      <w:pPr>
        <w:pStyle w:val="Compact"/>
        <w:numPr>
          <w:ilvl w:val="0"/>
          <w:numId w:val="1012"/>
        </w:numPr>
      </w:pPr>
      <w:r>
        <w:rPr>
          <w:b/>
          <w:bCs/>
        </w:rPr>
        <w:t xml:space="preserve">Шаги и параметры:</w:t>
      </w:r>
      <w:r>
        <w:t xml:space="preserve"> </w:t>
      </w:r>
      <w:r>
        <w:t xml:space="preserve">вызвать сообщение; по дереву и службе доступности установить, программно ли определяется его текст или иное содержимое без переноса фокуса; отдельно при включенной программе экранного доступа записать фактическое объявление и фокус; открыть системное уведомление и проверить действие и возврат; выполнить применимый протокол Г-07.</w:t>
      </w:r>
    </w:p>
    <w:p>
      <w:pPr>
        <w:pStyle w:val="Compact"/>
        <w:numPr>
          <w:ilvl w:val="0"/>
          <w:numId w:val="1012"/>
        </w:numPr>
      </w:pPr>
      <w:r>
        <w:rPr>
          <w:b/>
          <w:bCs/>
        </w:rPr>
        <w:t xml:space="preserve">Прохождение/нарушение:</w:t>
      </w:r>
      <w:r>
        <w:t xml:space="preserve"> </w:t>
      </w:r>
      <w:r>
        <w:t xml:space="preserve">нормативный подрезультат проходит, если сообщение состояния программно определимо так, чтобы вспомогательная технология могла представить его без получения фокуса; нарушение при только визуальном сообщении или необоснованном переносе фокуса. Фактическое объявление записывается отдельным интеграционным подрезультатом и само по себе не заменяет проверку программной определимости.</w:t>
      </w:r>
    </w:p>
    <w:p>
      <w:pPr>
        <w:pStyle w:val="Compact"/>
        <w:numPr>
          <w:ilvl w:val="0"/>
          <w:numId w:val="1012"/>
        </w:numPr>
      </w:pPr>
      <w:r>
        <w:rPr>
          <w:b/>
          <w:bCs/>
        </w:rPr>
        <w:t xml:space="preserve">NA/не проверено:</w:t>
      </w:r>
      <w:r>
        <w:t xml:space="preserve"> </w:t>
      </w:r>
      <w:r>
        <w:t xml:space="preserve">NA для конкретного отсутствующего вида сообщения; не проверено, если его вызов требует запрещенной операции.</w:t>
      </w:r>
    </w:p>
    <w:p>
      <w:pPr>
        <w:pStyle w:val="Compact"/>
        <w:numPr>
          <w:ilvl w:val="0"/>
          <w:numId w:val="1012"/>
        </w:numPr>
      </w:pPr>
      <w:r>
        <w:rPr>
          <w:b/>
          <w:bCs/>
        </w:rPr>
        <w:t xml:space="preserve">Минимальное доказательство:</w:t>
      </w:r>
      <w:r>
        <w:t xml:space="preserve"> </w:t>
      </w:r>
      <w:r>
        <w:t xml:space="preserve">запись озвучивания, снимок, узел дерева, фокус до и после, системное уведомление при применимости.</w:t>
      </w:r>
    </w:p>
    <w:p>
      <w:pPr>
        <w:pStyle w:val="Compact"/>
        <w:numPr>
          <w:ilvl w:val="0"/>
          <w:numId w:val="1012"/>
        </w:numPr>
      </w:pPr>
      <w:r>
        <w:rPr>
          <w:b/>
          <w:bCs/>
        </w:rPr>
        <w:t xml:space="preserve">Нормативная ссылка:</w:t>
      </w:r>
      <w:r>
        <w:t xml:space="preserve"> </w:t>
      </w:r>
      <w:hyperlink r:id="rId47">
        <w:r>
          <w:rPr>
            <w:rStyle w:val="Hyperlink"/>
          </w:rPr>
          <w:t xml:space="preserve">WCAG 3.3.1</w:t>
        </w:r>
      </w:hyperlink>
      <w:r>
        <w:t xml:space="preserve">,</w:t>
      </w:r>
      <w:r>
        <w:t xml:space="preserve"> </w:t>
      </w:r>
      <w:hyperlink r:id="rId48">
        <w:r>
          <w:rPr>
            <w:rStyle w:val="Hyperlink"/>
          </w:rPr>
          <w:t xml:space="preserve">4.1.3</w:t>
        </w:r>
      </w:hyperlink>
      <w:r>
        <w:t xml:space="preserve">,</w:t>
      </w:r>
      <w:r>
        <w:t xml:space="preserve"> </w:t>
      </w:r>
      <w:hyperlink r:id="rId21">
        <w:r>
          <w:rPr>
            <w:rStyle w:val="Hyperlink"/>
          </w:rPr>
          <w:t xml:space="preserve">EN 301 549 V4.1.1, 11.4.1.3 и 11.5.2.15</w:t>
        </w:r>
      </w:hyperlink>
      <w:r>
        <w:t xml:space="preserve">.</w:t>
      </w:r>
    </w:p>
    <w:p>
      <w:pPr>
        <w:pStyle w:val="Compact"/>
        <w:numPr>
          <w:ilvl w:val="0"/>
          <w:numId w:val="1012"/>
        </w:numPr>
      </w:pPr>
      <w:r>
        <w:rPr>
          <w:b/>
          <w:bCs/>
        </w:rPr>
        <w:t xml:space="preserve">Граница проекта:</w:t>
      </w:r>
      <w:r>
        <w:t xml:space="preserve"> </w:t>
      </w:r>
      <w:r>
        <w:t xml:space="preserve">фактическое объявление полезно для интеграционной и пользовательской проверки, но сбой одной конфигурации не равен автоматически нарушению EN 11.4.1.3 без проверки программной определимости.</w:t>
      </w:r>
    </w:p>
    <w:bookmarkEnd w:id="49"/>
    <w:bookmarkStart w:id="53" w:name="X40767c63be9ece14878c21b6eb8cf37628a78ab"/>
    <w:p>
      <w:pPr>
        <w:pStyle w:val="Heading3"/>
      </w:pPr>
      <w:bookmarkStart w:id="1990" w:name="_TocAnchor114_1989"/>
      <w:r>
        <w:t xml:space="preserve">В-12. Подписи, инструкции, ошибки и исправление формы</w:t>
      </w:r>
      <w:bookmarkEnd w:id="1990"/>
    </w:p>
    <w:p>
      <w:pPr>
        <w:pStyle w:val="Compact"/>
        <w:numPr>
          <w:ilvl w:val="0"/>
          <w:numId w:val="1013"/>
        </w:numPr>
      </w:pPr>
      <w:r>
        <w:rPr>
          <w:b/>
          <w:bCs/>
        </w:rPr>
        <w:t xml:space="preserve">Применимость:</w:t>
      </w:r>
      <w:r>
        <w:t xml:space="preserve"> </w:t>
      </w:r>
      <w:r>
        <w:t xml:space="preserve">текстовые поля, переключатели, выбор, загрузка, поиск и иные формы.</w:t>
      </w:r>
    </w:p>
    <w:p>
      <w:pPr>
        <w:pStyle w:val="Compact"/>
        <w:numPr>
          <w:ilvl w:val="0"/>
          <w:numId w:val="1013"/>
        </w:numPr>
      </w:pPr>
      <w:r>
        <w:rPr>
          <w:b/>
          <w:bCs/>
        </w:rPr>
        <w:t xml:space="preserve">Предусловия:</w:t>
      </w:r>
      <w:r>
        <w:t xml:space="preserve"> </w:t>
      </w:r>
      <w:r>
        <w:t xml:space="preserve">пустое, заполненное, ошибочное и исправленное состояния, безопасные обезличенные данные.</w:t>
      </w:r>
    </w:p>
    <w:p>
      <w:pPr>
        <w:pStyle w:val="Compact"/>
        <w:numPr>
          <w:ilvl w:val="0"/>
          <w:numId w:val="1013"/>
        </w:numPr>
      </w:pPr>
      <w:r>
        <w:rPr>
          <w:b/>
          <w:bCs/>
        </w:rPr>
        <w:t xml:space="preserve">Шаги и параметры:</w:t>
      </w:r>
      <w:r>
        <w:t xml:space="preserve"> </w:t>
      </w:r>
      <w:r>
        <w:t xml:space="preserve">сопоставить видимую и программную подпись; проверить обязательность и формат до ввода; вызвать ошибку; перейти к ней программой экранного доступа; исправить значение и повторить; выполнить применимый протокол Г-14.</w:t>
      </w:r>
    </w:p>
    <w:p>
      <w:pPr>
        <w:pStyle w:val="Compact"/>
        <w:numPr>
          <w:ilvl w:val="0"/>
          <w:numId w:val="1013"/>
        </w:numPr>
      </w:pPr>
      <w:r>
        <w:rPr>
          <w:b/>
          <w:bCs/>
        </w:rPr>
        <w:t xml:space="preserve">Прохождение/нарушение:</w:t>
      </w:r>
      <w:r>
        <w:t xml:space="preserve"> </w:t>
      </w:r>
      <w:r>
        <w:t xml:space="preserve">проходит при устойчивой подписи, достаточной инструкции, программно связанной ошибке и доступном исправлении; нарушение при подписи только заполнителем, несовпадающем имени, несвязанной ошибке или потере данных.</w:t>
      </w:r>
    </w:p>
    <w:p>
      <w:pPr>
        <w:pStyle w:val="Compact"/>
        <w:numPr>
          <w:ilvl w:val="0"/>
          <w:numId w:val="1013"/>
        </w:numPr>
      </w:pPr>
      <w:r>
        <w:rPr>
          <w:b/>
          <w:bCs/>
        </w:rPr>
        <w:t xml:space="preserve">NA/не проверено:</w:t>
      </w:r>
      <w:r>
        <w:t xml:space="preserve"> </w:t>
      </w:r>
      <w:r>
        <w:t xml:space="preserve">NA без форм; не проверено, если серверную ошибку нельзя безопасно вызвать.</w:t>
      </w:r>
    </w:p>
    <w:p>
      <w:pPr>
        <w:pStyle w:val="Compact"/>
        <w:numPr>
          <w:ilvl w:val="0"/>
          <w:numId w:val="1013"/>
        </w:numPr>
      </w:pPr>
      <w:r>
        <w:rPr>
          <w:b/>
          <w:bCs/>
        </w:rPr>
        <w:t xml:space="preserve">Минимальное доказательство:</w:t>
      </w:r>
      <w:r>
        <w:t xml:space="preserve"> </w:t>
      </w:r>
      <w:r>
        <w:t xml:space="preserve">состояния поля и ошибки, доступные свойства, озвучивание и результат исправления.</w:t>
      </w:r>
    </w:p>
    <w:p>
      <w:pPr>
        <w:pStyle w:val="Compact"/>
        <w:numPr>
          <w:ilvl w:val="0"/>
          <w:numId w:val="1013"/>
        </w:numPr>
      </w:pPr>
      <w:r>
        <w:rPr>
          <w:b/>
          <w:bCs/>
        </w:rPr>
        <w:t xml:space="preserve">Нормативная ссылка:</w:t>
      </w:r>
      <w:r>
        <w:t xml:space="preserve"> </w:t>
      </w:r>
      <w:hyperlink r:id="rId50">
        <w:r>
          <w:rPr>
            <w:rStyle w:val="Hyperlink"/>
          </w:rPr>
          <w:t xml:space="preserve">WCAG 2.5.3</w:t>
        </w:r>
      </w:hyperlink>
      <w:r>
        <w:t xml:space="preserve">,</w:t>
      </w:r>
      <w:r>
        <w:t xml:space="preserve"> </w:t>
      </w:r>
      <w:hyperlink r:id="rId47">
        <w:r>
          <w:rPr>
            <w:rStyle w:val="Hyperlink"/>
          </w:rPr>
          <w:t xml:space="preserve">3.3.1</w:t>
        </w:r>
      </w:hyperlink>
      <w:r>
        <w:t xml:space="preserve">,</w:t>
      </w:r>
      <w:r>
        <w:t xml:space="preserve"> </w:t>
      </w:r>
      <w:hyperlink r:id="rId51">
        <w:r>
          <w:rPr>
            <w:rStyle w:val="Hyperlink"/>
          </w:rPr>
          <w:t xml:space="preserve">3.3.2</w:t>
        </w:r>
      </w:hyperlink>
      <w:r>
        <w:t xml:space="preserve">,</w:t>
      </w:r>
      <w:r>
        <w:t xml:space="preserve"> </w:t>
      </w:r>
      <w:hyperlink r:id="rId52">
        <w:r>
          <w:rPr>
            <w:rStyle w:val="Hyperlink"/>
          </w:rPr>
          <w:t xml:space="preserve">3.3.3</w:t>
        </w:r>
      </w:hyperlink>
      <w:r>
        <w:t xml:space="preserve">.</w:t>
      </w:r>
    </w:p>
    <w:p>
      <w:pPr>
        <w:pStyle w:val="Compact"/>
        <w:numPr>
          <w:ilvl w:val="0"/>
          <w:numId w:val="1013"/>
        </w:numPr>
      </w:pPr>
      <w:r>
        <w:rPr>
          <w:b/>
          <w:bCs/>
        </w:rPr>
        <w:t xml:space="preserve">Граница проекта:</w:t>
      </w:r>
      <w:r>
        <w:t xml:space="preserve"> </w:t>
      </w:r>
      <w:r>
        <w:t xml:space="preserve">сообщение не обязано иметь единую редакцию, если оно точно определяет ошибку и доступный способ исправления.</w:t>
      </w:r>
    </w:p>
    <w:bookmarkEnd w:id="53"/>
    <w:bookmarkStart w:id="58" w:name="X2510e414649050a3a38b793a7c5140b3455f5a4"/>
    <w:p>
      <w:pPr>
        <w:pStyle w:val="Heading3"/>
      </w:pPr>
      <w:bookmarkStart w:id="1992" w:name="_TocAnchor123_1991"/>
      <w:r>
        <w:t xml:space="preserve">В-13. Назначение ввода, перекрытие фокуса и повторный ввод</w:t>
      </w:r>
      <w:bookmarkEnd w:id="1992"/>
    </w:p>
    <w:p>
      <w:pPr>
        <w:pStyle w:val="Compact"/>
        <w:numPr>
          <w:ilvl w:val="0"/>
          <w:numId w:val="1014"/>
        </w:numPr>
      </w:pPr>
      <w:r>
        <w:rPr>
          <w:b/>
          <w:bCs/>
        </w:rPr>
        <w:t xml:space="preserve">Применимость:</w:t>
      </w:r>
      <w:r>
        <w:t xml:space="preserve"> </w:t>
      </w:r>
      <w:r>
        <w:t xml:space="preserve">поля поддерживаемых назначений, авторское содержимое, способное перекрыть компонент с фокусом, и многошаговые процессы с повторным запросом ранее введенных данных.</w:t>
      </w:r>
    </w:p>
    <w:p>
      <w:pPr>
        <w:pStyle w:val="Compact"/>
        <w:numPr>
          <w:ilvl w:val="0"/>
          <w:numId w:val="1014"/>
        </w:numPr>
      </w:pPr>
      <w:r>
        <w:rPr>
          <w:b/>
          <w:bCs/>
        </w:rPr>
        <w:t xml:space="preserve">Предусловия:</w:t>
      </w:r>
      <w:r>
        <w:t xml:space="preserve"> </w:t>
      </w:r>
      <w:r>
        <w:t xml:space="preserve">чистое тестовое состояние, разрешенные обезличенные данные, экранная клавиатура и автозаполнение платформы.</w:t>
      </w:r>
    </w:p>
    <w:p>
      <w:pPr>
        <w:pStyle w:val="Compact"/>
        <w:numPr>
          <w:ilvl w:val="0"/>
          <w:numId w:val="1014"/>
        </w:numPr>
      </w:pPr>
      <w:r>
        <w:rPr>
          <w:b/>
          <w:bCs/>
        </w:rPr>
        <w:t xml:space="preserve">Шаги и параметры:</w:t>
      </w:r>
      <w:r>
        <w:t xml:space="preserve"> </w:t>
      </w:r>
      <w:r>
        <w:t xml:space="preserve">для каждого поддерживаемого поля проверить программно определимое назначение. Открыть экранную клавиатуру и иное авторское перекрывающее содержимое, переместить фокус по полям и действиям и проверить, что компонент с фокусом не скрыт полностью. В многошаговом процессе повторно дойти до уже введенных сведений и проверить автоподстановку или выбор этих сведений, а также исключения для существенности, безопасности и первоначальной недействительности данных.</w:t>
      </w:r>
    </w:p>
    <w:p>
      <w:pPr>
        <w:pStyle w:val="Compact"/>
        <w:numPr>
          <w:ilvl w:val="0"/>
          <w:numId w:val="1014"/>
        </w:numPr>
      </w:pPr>
      <w:r>
        <w:rPr>
          <w:b/>
          <w:bCs/>
        </w:rPr>
        <w:t xml:space="preserve">Прохождение/нарушение:</w:t>
      </w:r>
      <w:r>
        <w:t xml:space="preserve"> </w:t>
      </w:r>
      <w:r>
        <w:t xml:space="preserve">отдельные нормативные подрезультаты проходят, если назначение поддерживаемого поля программно определимо, компонент с фокусом не полностью скрыт созданным автором содержимым и ранее предоставленные данные не требуется вводить повторно без точного исключения. Нарушение записывается по конкретному невыполненному требованию.</w:t>
      </w:r>
    </w:p>
    <w:p>
      <w:pPr>
        <w:pStyle w:val="Compact"/>
        <w:numPr>
          <w:ilvl w:val="0"/>
          <w:numId w:val="1014"/>
        </w:numPr>
      </w:pPr>
      <w:r>
        <w:rPr>
          <w:b/>
          <w:bCs/>
        </w:rPr>
        <w:t xml:space="preserve">NA/не проверено:</w:t>
      </w:r>
      <w:r>
        <w:t xml:space="preserve"> </w:t>
      </w:r>
      <w:r>
        <w:t xml:space="preserve">NA отдельно для отсутствующих полей применимых назначений, перекрывающего содержимого или повторного запроса; не проверено без безопасных данных или поддержки технологии платформой.</w:t>
      </w:r>
    </w:p>
    <w:p>
      <w:pPr>
        <w:pStyle w:val="Compact"/>
        <w:numPr>
          <w:ilvl w:val="0"/>
          <w:numId w:val="1014"/>
        </w:numPr>
      </w:pPr>
      <w:r>
        <w:rPr>
          <w:b/>
          <w:bCs/>
        </w:rPr>
        <w:t xml:space="preserve">Минимальное доказательство:</w:t>
      </w:r>
      <w:r>
        <w:t xml:space="preserve"> </w:t>
      </w:r>
      <w:r>
        <w:t xml:space="preserve">поле, программное назначение, вид клавиатуры, автозаполненное значение без его секретного содержания и итоговый переход.</w:t>
      </w:r>
    </w:p>
    <w:p>
      <w:pPr>
        <w:pStyle w:val="Compact"/>
        <w:numPr>
          <w:ilvl w:val="0"/>
          <w:numId w:val="1014"/>
        </w:numPr>
      </w:pPr>
      <w:r>
        <w:rPr>
          <w:b/>
          <w:bCs/>
        </w:rPr>
        <w:t xml:space="preserve">Нормативная ссылка:</w:t>
      </w:r>
      <w:r>
        <w:t xml:space="preserve"> </w:t>
      </w:r>
      <w:hyperlink r:id="rId54">
        <w:r>
          <w:rPr>
            <w:rStyle w:val="Hyperlink"/>
          </w:rPr>
          <w:t xml:space="preserve">WCAG 1.3.5</w:t>
        </w:r>
      </w:hyperlink>
      <w:r>
        <w:t xml:space="preserve">,</w:t>
      </w:r>
      <w:r>
        <w:t xml:space="preserve"> </w:t>
      </w:r>
      <w:hyperlink r:id="rId55">
        <w:r>
          <w:rPr>
            <w:rStyle w:val="Hyperlink"/>
          </w:rPr>
          <w:t xml:space="preserve">2.4.11</w:t>
        </w:r>
      </w:hyperlink>
      <w:r>
        <w:t xml:space="preserve">,</w:t>
      </w:r>
      <w:r>
        <w:t xml:space="preserve"> </w:t>
      </w:r>
      <w:hyperlink r:id="rId56">
        <w:r>
          <w:rPr>
            <w:rStyle w:val="Hyperlink"/>
          </w:rPr>
          <w:t xml:space="preserve">3.3.7</w:t>
        </w:r>
      </w:hyperlink>
      <w:r>
        <w:t xml:space="preserve">,</w:t>
      </w:r>
      <w:r>
        <w:t xml:space="preserve"> </w:t>
      </w:r>
      <w:hyperlink r:id="rId21">
        <w:r>
          <w:rPr>
            <w:rStyle w:val="Hyperlink"/>
          </w:rPr>
          <w:t xml:space="preserve">EN 301 549 V4.1.1, 11.1.3.5, 11.2.4.11 и 11.3.3.7</w:t>
        </w:r>
      </w:hyperlink>
      <w:r>
        <w:t xml:space="preserve">.</w:t>
      </w:r>
    </w:p>
    <w:p>
      <w:pPr>
        <w:pStyle w:val="Compact"/>
        <w:numPr>
          <w:ilvl w:val="0"/>
          <w:numId w:val="1014"/>
        </w:numPr>
      </w:pPr>
      <w:r>
        <w:rPr>
          <w:b/>
          <w:bCs/>
        </w:rPr>
        <w:t xml:space="preserve">Граница проекта:</w:t>
      </w:r>
      <w:r>
        <w:t xml:space="preserve"> </w:t>
      </w:r>
      <w:hyperlink r:id="rId57">
        <w:r>
          <w:rPr>
            <w:rStyle w:val="Hyperlink"/>
          </w:rPr>
          <w:t xml:space="preserve">WCAG2ICT, 1.3.5</w:t>
        </w:r>
      </w:hyperlink>
      <w:r>
        <w:t xml:space="preserve"> </w:t>
      </w:r>
      <w:r>
        <w:t xml:space="preserve">используется как информативное пояснение. Системная экранная клавиатура относится к платформе; приложению приписывается только созданное или измененное им перекрытие.</w:t>
      </w:r>
      <w:r>
        <w:t xml:space="preserve"> </w:t>
      </w:r>
      <w:r>
        <w:rPr>
          <w:b/>
          <w:bCs/>
        </w:rPr>
        <w:t xml:space="preserve">Предложение проекта:</w:t>
      </w:r>
      <w:r>
        <w:t xml:space="preserve"> </w:t>
      </w:r>
      <w:r>
        <w:t xml:space="preserve">конкретный вид экранной клавиатуры и удобство автозаполнения записываются как наблюдения, но не образуют самостоятельного нормативного нарушения.</w:t>
      </w:r>
    </w:p>
    <w:bookmarkEnd w:id="58"/>
    <w:bookmarkStart w:id="62" w:name="Xacfe7ddad31cf458a49876e4d9510f5a55892a3"/>
    <w:p>
      <w:pPr>
        <w:pStyle w:val="Heading3"/>
      </w:pPr>
      <w:bookmarkStart w:id="1994" w:name="_TocAnchor132_1993"/>
      <w:r>
        <w:t xml:space="preserve">В-14. Ограничения времени, движение и вспышки</w:t>
      </w:r>
      <w:bookmarkEnd w:id="1994"/>
    </w:p>
    <w:p>
      <w:pPr>
        <w:pStyle w:val="Compact"/>
        <w:numPr>
          <w:ilvl w:val="0"/>
          <w:numId w:val="1015"/>
        </w:numPr>
      </w:pPr>
      <w:r>
        <w:rPr>
          <w:b/>
          <w:bCs/>
        </w:rPr>
        <w:t xml:space="preserve">Применимость:</w:t>
      </w:r>
      <w:r>
        <w:t xml:space="preserve"> </w:t>
      </w:r>
      <w:r>
        <w:t xml:space="preserve">сессии, одноразовые действия, исчезающие сообщения, карусели, анимация, мигание и автоматически обновляемое содержимое.</w:t>
      </w:r>
    </w:p>
    <w:p>
      <w:pPr>
        <w:pStyle w:val="Compact"/>
        <w:numPr>
          <w:ilvl w:val="0"/>
          <w:numId w:val="1015"/>
        </w:numPr>
      </w:pPr>
      <w:r>
        <w:rPr>
          <w:b/>
          <w:bCs/>
        </w:rPr>
        <w:t xml:space="preserve">Предусловия:</w:t>
      </w:r>
      <w:r>
        <w:t xml:space="preserve"> </w:t>
      </w:r>
      <w:r>
        <w:t xml:space="preserve">известный лимит, безопасная сессия, средство измерения времени и запись экрана.</w:t>
      </w:r>
    </w:p>
    <w:p>
      <w:pPr>
        <w:pStyle w:val="Compact"/>
        <w:numPr>
          <w:ilvl w:val="0"/>
          <w:numId w:val="1015"/>
        </w:numPr>
      </w:pPr>
      <w:r>
        <w:rPr>
          <w:b/>
          <w:bCs/>
        </w:rPr>
        <w:t xml:space="preserve">Шаги и параметры:</w:t>
      </w:r>
      <w:r>
        <w:t xml:space="preserve"> </w:t>
      </w:r>
      <w:r>
        <w:t xml:space="preserve">для каждого лимита проверить отключение заранее, настройку не менее чем в десять раз, предупреждение не менее чем за 20 секунд с простым продлением не менее десяти раз либо точное исключение для события реального времени, существенности или лимита более 20 часов. Для движения, мигания или прокрутки, которые запускаются автоматически, длятся более пяти секунд и идут параллельно с иным содержимым, проверить паузу, остановку или скрытие, если эффект не существенен; для автообновления проверить также управление частотой. Просмотреть все скользящие интервалы длиной одна секунда; при более чем трех вспышках измерить общий и красный пороги. Выполнить применимый протокол Г-13.</w:t>
      </w:r>
    </w:p>
    <w:p>
      <w:pPr>
        <w:pStyle w:val="Compact"/>
        <w:numPr>
          <w:ilvl w:val="0"/>
          <w:numId w:val="1015"/>
        </w:numPr>
      </w:pPr>
      <w:r>
        <w:rPr>
          <w:b/>
          <w:bCs/>
        </w:rPr>
        <w:t xml:space="preserve">Прохождение/нарушение:</w:t>
      </w:r>
      <w:r>
        <w:t xml:space="preserve"> </w:t>
      </w:r>
      <w:r>
        <w:t xml:space="preserve">проходит, если для каждого лимита выполнена одна нормативная ветвь, применимые движение и обновление управляемы, а интерфейс не создает более трех вспышек за любую секунду либо вспышки ниже общего и красного порогов. Нарушение при невыполненном условии или превышении порога.</w:t>
      </w:r>
    </w:p>
    <w:p>
      <w:pPr>
        <w:pStyle w:val="Compact"/>
        <w:numPr>
          <w:ilvl w:val="0"/>
          <w:numId w:val="1015"/>
        </w:numPr>
      </w:pPr>
      <w:r>
        <w:rPr>
          <w:b/>
          <w:bCs/>
        </w:rPr>
        <w:t xml:space="preserve">NA/не проверено:</w:t>
      </w:r>
      <w:r>
        <w:t xml:space="preserve"> </w:t>
      </w:r>
      <w:r>
        <w:t xml:space="preserve">NA отдельно для отсутствующего времени, движения или вспышек; не проверено, если ожидание или действие нельзя выполнить на разрешенном стенде.</w:t>
      </w:r>
    </w:p>
    <w:p>
      <w:pPr>
        <w:pStyle w:val="Compact"/>
        <w:numPr>
          <w:ilvl w:val="0"/>
          <w:numId w:val="1015"/>
        </w:numPr>
      </w:pPr>
      <w:r>
        <w:rPr>
          <w:b/>
          <w:bCs/>
        </w:rPr>
        <w:t xml:space="preserve">Минимальное доказательство:</w:t>
      </w:r>
      <w:r>
        <w:t xml:space="preserve"> </w:t>
      </w:r>
      <w:r>
        <w:t xml:space="preserve">временные метки, предупреждение, действие продления, состояние до и после, запись движения и результат измерения вспышек.</w:t>
      </w:r>
    </w:p>
    <w:p>
      <w:pPr>
        <w:pStyle w:val="Compact"/>
        <w:numPr>
          <w:ilvl w:val="0"/>
          <w:numId w:val="1015"/>
        </w:numPr>
      </w:pPr>
      <w:r>
        <w:rPr>
          <w:b/>
          <w:bCs/>
        </w:rPr>
        <w:t xml:space="preserve">Нормативная ссылка:</w:t>
      </w:r>
      <w:r>
        <w:t xml:space="preserve"> </w:t>
      </w:r>
      <w:hyperlink r:id="rId59">
        <w:r>
          <w:rPr>
            <w:rStyle w:val="Hyperlink"/>
          </w:rPr>
          <w:t xml:space="preserve">WCAG 2.2.1</w:t>
        </w:r>
      </w:hyperlink>
      <w:r>
        <w:t xml:space="preserve">,</w:t>
      </w:r>
      <w:r>
        <w:t xml:space="preserve"> </w:t>
      </w:r>
      <w:hyperlink r:id="rId60">
        <w:r>
          <w:rPr>
            <w:rStyle w:val="Hyperlink"/>
          </w:rPr>
          <w:t xml:space="preserve">2.2.2</w:t>
        </w:r>
      </w:hyperlink>
      <w:r>
        <w:t xml:space="preserve">,</w:t>
      </w:r>
      <w:r>
        <w:t xml:space="preserve"> </w:t>
      </w:r>
      <w:hyperlink r:id="rId61">
        <w:r>
          <w:rPr>
            <w:rStyle w:val="Hyperlink"/>
          </w:rPr>
          <w:t xml:space="preserve">2.3.1</w:t>
        </w:r>
      </w:hyperlink>
      <w:r>
        <w:t xml:space="preserve">,</w:t>
      </w:r>
      <w:r>
        <w:t xml:space="preserve"> </w:t>
      </w:r>
      <w:hyperlink r:id="rId21">
        <w:r>
          <w:rPr>
            <w:rStyle w:val="Hyperlink"/>
          </w:rPr>
          <w:t xml:space="preserve">EN 301 549 V4.1.1, 11.2.2.1-11.2.2.2 и 11.2.3.1</w:t>
        </w:r>
      </w:hyperlink>
      <w:r>
        <w:t xml:space="preserve">.</w:t>
      </w:r>
    </w:p>
    <w:p>
      <w:pPr>
        <w:pStyle w:val="Compact"/>
        <w:numPr>
          <w:ilvl w:val="0"/>
          <w:numId w:val="1015"/>
        </w:numPr>
      </w:pPr>
      <w:r>
        <w:rPr>
          <w:b/>
          <w:bCs/>
        </w:rPr>
        <w:t xml:space="preserve">Граница проекта:</w:t>
      </w:r>
      <w:r>
        <w:t xml:space="preserve"> </w:t>
      </w:r>
      <w:r>
        <w:t xml:space="preserve">сохранение введенного после тайм-аута сверх требований критерия является</w:t>
      </w:r>
      <w:r>
        <w:t xml:space="preserve"> </w:t>
      </w:r>
      <w:r>
        <w:rPr>
          <w:b/>
          <w:bCs/>
        </w:rPr>
        <w:t xml:space="preserve">Предложением проекта</w:t>
      </w:r>
      <w:r>
        <w:t xml:space="preserve"> </w:t>
      </w:r>
      <w:r>
        <w:t xml:space="preserve">и оценивается отдельно.</w:t>
      </w:r>
    </w:p>
    <w:bookmarkEnd w:id="62"/>
    <w:bookmarkStart w:id="64" w:name="в-15.-доступная-аутентификация"/>
    <w:p>
      <w:pPr>
        <w:pStyle w:val="Heading3"/>
      </w:pPr>
      <w:bookmarkStart w:id="1996" w:name="_TocAnchor141_1995"/>
      <w:r>
        <w:t xml:space="preserve">В-15. Доступная аутентификация</w:t>
      </w:r>
      <w:bookmarkEnd w:id="1996"/>
    </w:p>
    <w:p>
      <w:pPr>
        <w:pStyle w:val="Compact"/>
        <w:numPr>
          <w:ilvl w:val="0"/>
          <w:numId w:val="1016"/>
        </w:numPr>
      </w:pPr>
      <w:r>
        <w:rPr>
          <w:b/>
          <w:bCs/>
        </w:rPr>
        <w:t xml:space="preserve">Применимость:</w:t>
      </w:r>
      <w:r>
        <w:t xml:space="preserve"> </w:t>
      </w:r>
      <w:r>
        <w:t xml:space="preserve">вход, регистрация, восстановление, одноразовый код, биометрический шаг и повторная аутентификация.</w:t>
      </w:r>
    </w:p>
    <w:p>
      <w:pPr>
        <w:pStyle w:val="Compact"/>
        <w:numPr>
          <w:ilvl w:val="0"/>
          <w:numId w:val="1016"/>
        </w:numPr>
      </w:pPr>
      <w:r>
        <w:rPr>
          <w:b/>
          <w:bCs/>
        </w:rPr>
        <w:t xml:space="preserve">Предусловия:</w:t>
      </w:r>
      <w:r>
        <w:t xml:space="preserve"> </w:t>
      </w:r>
      <w:r>
        <w:t xml:space="preserve">разрешенная тестовая учетная запись, безопасный канал кода и протоколы Д-09-Д-12.</w:t>
      </w:r>
    </w:p>
    <w:p>
      <w:pPr>
        <w:pStyle w:val="Compact"/>
        <w:numPr>
          <w:ilvl w:val="0"/>
          <w:numId w:val="1016"/>
        </w:numPr>
      </w:pPr>
      <w:r>
        <w:rPr>
          <w:b/>
          <w:bCs/>
        </w:rPr>
        <w:t xml:space="preserve">Шаги и параметры:</w:t>
      </w:r>
      <w:r>
        <w:t xml:space="preserve"> </w:t>
      </w:r>
      <w:r>
        <w:t xml:space="preserve">пройти каждый шаг с программой экранного доступа; проверить вставку и автозаполнение; установить наличие когнитивного теста. Для каждого такого теста проверить хотя бы одну допустимую ветвь: иной способ аутентификации без когнитивного теста; механизм помощи при его выполнении; распознавание объектов; распознавание нетекстового содержимого, ранее предоставленного самим пользователем. Проверить ошибку, возврат и повтор; выполнить применимые протоколы раздела Д.</w:t>
      </w:r>
    </w:p>
    <w:p>
      <w:pPr>
        <w:pStyle w:val="Compact"/>
        <w:numPr>
          <w:ilvl w:val="0"/>
          <w:numId w:val="1016"/>
        </w:numPr>
      </w:pPr>
      <w:r>
        <w:rPr>
          <w:b/>
          <w:bCs/>
        </w:rPr>
        <w:t xml:space="preserve">Прохождение/нарушение:</w:t>
      </w:r>
      <w:r>
        <w:t xml:space="preserve"> </w:t>
      </w:r>
      <w:r>
        <w:t xml:space="preserve">проходит, если каждый когнитивный тест удовлетворяет хотя бы одной из четырех допустимых ветвей, а весь процесс доступен; нарушение при недоступном обязательном шаге или когнитивном тесте без альтернативы, механизма помощи, распознавания объектов или личного нетекстового содержимого пользователя.</w:t>
      </w:r>
    </w:p>
    <w:p>
      <w:pPr>
        <w:pStyle w:val="Compact"/>
        <w:numPr>
          <w:ilvl w:val="0"/>
          <w:numId w:val="1016"/>
        </w:numPr>
      </w:pPr>
      <w:r>
        <w:rPr>
          <w:b/>
          <w:bCs/>
        </w:rPr>
        <w:t xml:space="preserve">NA/не проверено:</w:t>
      </w:r>
      <w:r>
        <w:t xml:space="preserve"> </w:t>
      </w:r>
      <w:r>
        <w:t xml:space="preserve">NA без аутентификации; не проверено без разрешенной учетной записи или безопасного получения кода.</w:t>
      </w:r>
    </w:p>
    <w:p>
      <w:pPr>
        <w:pStyle w:val="Compact"/>
        <w:numPr>
          <w:ilvl w:val="0"/>
          <w:numId w:val="1016"/>
        </w:numPr>
      </w:pPr>
      <w:r>
        <w:rPr>
          <w:b/>
          <w:bCs/>
        </w:rPr>
        <w:t xml:space="preserve">Минимальное доказательство:</w:t>
      </w:r>
      <w:r>
        <w:t xml:space="preserve"> </w:t>
      </w:r>
      <w:r>
        <w:t xml:space="preserve">нумерованные шаги без секретов, доступные свойства, выбранная для каждого когнитивного теста ветвь, ошибки и итог.</w:t>
      </w:r>
    </w:p>
    <w:p>
      <w:pPr>
        <w:pStyle w:val="Compact"/>
        <w:numPr>
          <w:ilvl w:val="0"/>
          <w:numId w:val="1016"/>
        </w:numPr>
      </w:pPr>
      <w:r>
        <w:rPr>
          <w:b/>
          <w:bCs/>
        </w:rPr>
        <w:t xml:space="preserve">Нормативная ссылка:</w:t>
      </w:r>
      <w:r>
        <w:t xml:space="preserve"> </w:t>
      </w:r>
      <w:hyperlink r:id="rId63">
        <w:r>
          <w:rPr>
            <w:rStyle w:val="Hyperlink"/>
          </w:rPr>
          <w:t xml:space="preserve">WCAG 3.3.8</w:t>
        </w:r>
      </w:hyperlink>
      <w:r>
        <w:t xml:space="preserve">,</w:t>
      </w:r>
      <w:r>
        <w:t xml:space="preserve"> </w:t>
      </w:r>
      <w:hyperlink r:id="rId21">
        <w:r>
          <w:rPr>
            <w:rStyle w:val="Hyperlink"/>
          </w:rPr>
          <w:t xml:space="preserve">EN 301 549 V4.1.1, 11.3.3.8</w:t>
        </w:r>
      </w:hyperlink>
      <w:r>
        <w:t xml:space="preserve">.</w:t>
      </w:r>
    </w:p>
    <w:p>
      <w:pPr>
        <w:pStyle w:val="Compact"/>
        <w:numPr>
          <w:ilvl w:val="0"/>
          <w:numId w:val="1016"/>
        </w:numPr>
      </w:pPr>
      <w:r>
        <w:rPr>
          <w:b/>
          <w:bCs/>
        </w:rPr>
        <w:t xml:space="preserve">Граница проекта:</w:t>
      </w:r>
      <w:r>
        <w:t xml:space="preserve"> </w:t>
      </w:r>
      <w:r>
        <w:t xml:space="preserve">дополнительно применяются процедуры раздела Д. Успешный вход не подтверждает сохранение доступности дальнейшего авторизованного процесса.</w:t>
      </w:r>
    </w:p>
    <w:bookmarkEnd w:id="64"/>
    <w:bookmarkStart w:id="69" w:name="в-16.-внешняя-клавиатура"/>
    <w:p>
      <w:pPr>
        <w:pStyle w:val="Heading3"/>
      </w:pPr>
      <w:bookmarkStart w:id="1998" w:name="_TocAnchor150_1997"/>
      <w:r>
        <w:t xml:space="preserve">В-16. Внешняя клавиатура</w:t>
      </w:r>
      <w:bookmarkEnd w:id="1998"/>
    </w:p>
    <w:p>
      <w:pPr>
        <w:pStyle w:val="Compact"/>
        <w:numPr>
          <w:ilvl w:val="0"/>
          <w:numId w:val="1017"/>
        </w:numPr>
      </w:pPr>
      <w:r>
        <w:rPr>
          <w:b/>
          <w:bCs/>
        </w:rPr>
        <w:t xml:space="preserve">Применимость:</w:t>
      </w:r>
      <w:r>
        <w:t xml:space="preserve"> </w:t>
      </w:r>
      <w:r>
        <w:t xml:space="preserve">приложение на платформе и устройстве с поддержкой внешней клавиатуры.</w:t>
      </w:r>
    </w:p>
    <w:p>
      <w:pPr>
        <w:pStyle w:val="Compact"/>
        <w:numPr>
          <w:ilvl w:val="0"/>
          <w:numId w:val="1017"/>
        </w:numPr>
      </w:pPr>
      <w:r>
        <w:rPr>
          <w:b/>
          <w:bCs/>
        </w:rPr>
        <w:t xml:space="preserve">Предусловия:</w:t>
      </w:r>
      <w:r>
        <w:t xml:space="preserve"> </w:t>
      </w:r>
      <w:r>
        <w:t xml:space="preserve">подключенная клавиатура, видимый фокус, перечень критических функций.</w:t>
      </w:r>
    </w:p>
    <w:p>
      <w:pPr>
        <w:pStyle w:val="Compact"/>
        <w:numPr>
          <w:ilvl w:val="0"/>
          <w:numId w:val="1017"/>
        </w:numPr>
      </w:pPr>
      <w:r>
        <w:rPr>
          <w:b/>
          <w:bCs/>
        </w:rPr>
        <w:t xml:space="preserve">Шаги и параметры:</w:t>
      </w:r>
      <w:r>
        <w:t xml:space="preserve"> </w:t>
      </w:r>
      <w:r>
        <w:t xml:space="preserve">не касаясь экрана, пройти навигацию и сценарии; открыть и закрыть диалог; ввести и исправить текст; проверить направление, активацию и возврат; проверить односимвольные сочетания; выполнить протоколы Г-03 и Г-11 с мобильной спецификой.</w:t>
      </w:r>
    </w:p>
    <w:p>
      <w:pPr>
        <w:pStyle w:val="Compact"/>
        <w:numPr>
          <w:ilvl w:val="0"/>
          <w:numId w:val="1017"/>
        </w:numPr>
      </w:pPr>
      <w:r>
        <w:rPr>
          <w:b/>
          <w:bCs/>
        </w:rPr>
        <w:t xml:space="preserve">Прохождение/нарушение:</w:t>
      </w:r>
      <w:r>
        <w:t xml:space="preserve"> </w:t>
      </w:r>
      <w:r>
        <w:t xml:space="preserve">проходит, если все не зависящие существенно от траектории функции доступны, фокус заметен и ловушек нет; нарушение при недостижимом действии, невидимом фокусе или ловушке.</w:t>
      </w:r>
    </w:p>
    <w:p>
      <w:pPr>
        <w:pStyle w:val="Compact"/>
        <w:numPr>
          <w:ilvl w:val="0"/>
          <w:numId w:val="1017"/>
        </w:numPr>
      </w:pPr>
      <w:r>
        <w:rPr>
          <w:b/>
          <w:bCs/>
        </w:rPr>
        <w:t xml:space="preserve">NA/не проверено:</w:t>
      </w:r>
      <w:r>
        <w:t xml:space="preserve"> </w:t>
      </w:r>
      <w:r>
        <w:t xml:space="preserve">NA только при документированном отсутствии поддержки платформой; не проверено без совместимой клавиатуры.</w:t>
      </w:r>
    </w:p>
    <w:p>
      <w:pPr>
        <w:pStyle w:val="Compact"/>
        <w:numPr>
          <w:ilvl w:val="0"/>
          <w:numId w:val="1017"/>
        </w:numPr>
      </w:pPr>
      <w:r>
        <w:rPr>
          <w:b/>
          <w:bCs/>
        </w:rPr>
        <w:t xml:space="preserve">Минимальное доказательство:</w:t>
      </w:r>
      <w:r>
        <w:t xml:space="preserve"> </w:t>
      </w:r>
      <w:r>
        <w:t xml:space="preserve">последовательность клавиш, фокус по шагам, запись сценария и обнаруженный конфликт.</w:t>
      </w:r>
    </w:p>
    <w:p>
      <w:pPr>
        <w:pStyle w:val="Compact"/>
        <w:numPr>
          <w:ilvl w:val="0"/>
          <w:numId w:val="1017"/>
        </w:numPr>
      </w:pPr>
      <w:r>
        <w:rPr>
          <w:b/>
          <w:bCs/>
        </w:rPr>
        <w:t xml:space="preserve">Нормативная ссылка:</w:t>
      </w:r>
      <w:r>
        <w:t xml:space="preserve"> </w:t>
      </w:r>
      <w:hyperlink r:id="rId65">
        <w:r>
          <w:rPr>
            <w:rStyle w:val="Hyperlink"/>
          </w:rPr>
          <w:t xml:space="preserve">WCAG 2.1.1</w:t>
        </w:r>
      </w:hyperlink>
      <w:r>
        <w:t xml:space="preserve">,</w:t>
      </w:r>
      <w:r>
        <w:t xml:space="preserve"> </w:t>
      </w:r>
      <w:hyperlink r:id="rId66">
        <w:r>
          <w:rPr>
            <w:rStyle w:val="Hyperlink"/>
          </w:rPr>
          <w:t xml:space="preserve">2.1.2</w:t>
        </w:r>
      </w:hyperlink>
      <w:r>
        <w:t xml:space="preserve">,</w:t>
      </w:r>
      <w:r>
        <w:t xml:space="preserve"> </w:t>
      </w:r>
      <w:hyperlink r:id="rId67">
        <w:r>
          <w:rPr>
            <w:rStyle w:val="Hyperlink"/>
          </w:rPr>
          <w:t xml:space="preserve">2.1.4</w:t>
        </w:r>
      </w:hyperlink>
      <w:r>
        <w:t xml:space="preserve">,</w:t>
      </w:r>
      <w:r>
        <w:t xml:space="preserve"> </w:t>
      </w:r>
      <w:hyperlink r:id="rId25">
        <w:r>
          <w:rPr>
            <w:rStyle w:val="Hyperlink"/>
          </w:rPr>
          <w:t xml:space="preserve">2.4.3</w:t>
        </w:r>
      </w:hyperlink>
      <w:r>
        <w:t xml:space="preserve">,</w:t>
      </w:r>
      <w:r>
        <w:t xml:space="preserve"> </w:t>
      </w:r>
      <w:hyperlink r:id="rId68">
        <w:r>
          <w:rPr>
            <w:rStyle w:val="Hyperlink"/>
          </w:rPr>
          <w:t xml:space="preserve">2.4.7</w:t>
        </w:r>
      </w:hyperlink>
      <w:r>
        <w:t xml:space="preserve">,</w:t>
      </w:r>
      <w:r>
        <w:t xml:space="preserve"> </w:t>
      </w:r>
      <w:hyperlink r:id="rId21">
        <w:r>
          <w:rPr>
            <w:rStyle w:val="Hyperlink"/>
          </w:rPr>
          <w:t xml:space="preserve">EN 301 549 V4.1.1, 11.2.1.1-11.2.1.2, 11.2.1.4, 11.2.4.3 и 11.2.4.7</w:t>
        </w:r>
      </w:hyperlink>
      <w:r>
        <w:t xml:space="preserve">.</w:t>
      </w:r>
    </w:p>
    <w:p>
      <w:pPr>
        <w:pStyle w:val="Compact"/>
        <w:numPr>
          <w:ilvl w:val="0"/>
          <w:numId w:val="1017"/>
        </w:numPr>
      </w:pPr>
      <w:r>
        <w:rPr>
          <w:b/>
          <w:bCs/>
        </w:rPr>
        <w:t xml:space="preserve">Граница проекта:</w:t>
      </w:r>
      <w:r>
        <w:t xml:space="preserve"> </w:t>
      </w:r>
      <w:r>
        <w:t xml:space="preserve">фокус внешней клавиатуры и фокус программы экранного доступа записываются раздельно.</w:t>
      </w:r>
    </w:p>
    <w:bookmarkEnd w:id="69"/>
    <w:bookmarkStart w:id="70" w:name="в-17.-управление-переключателями"/>
    <w:p>
      <w:pPr>
        <w:pStyle w:val="Heading3"/>
      </w:pPr>
      <w:bookmarkStart w:id="2000" w:name="_TocAnchor159_1999"/>
      <w:r>
        <w:t xml:space="preserve">В-17. Управление переключателями</w:t>
      </w:r>
      <w:bookmarkEnd w:id="2000"/>
    </w:p>
    <w:p>
      <w:pPr>
        <w:pStyle w:val="Compact"/>
        <w:numPr>
          <w:ilvl w:val="0"/>
          <w:numId w:val="1018"/>
        </w:numPr>
      </w:pPr>
      <w:r>
        <w:rPr>
          <w:b/>
          <w:bCs/>
        </w:rPr>
        <w:t xml:space="preserve">Применимость:</w:t>
      </w:r>
      <w:r>
        <w:t xml:space="preserve"> </w:t>
      </w:r>
      <w:r>
        <w:t xml:space="preserve">приложение на платформе с системным управлением переключателями.</w:t>
      </w:r>
    </w:p>
    <w:p>
      <w:pPr>
        <w:pStyle w:val="Compact"/>
        <w:numPr>
          <w:ilvl w:val="0"/>
          <w:numId w:val="1018"/>
        </w:numPr>
      </w:pPr>
      <w:r>
        <w:rPr>
          <w:b/>
          <w:bCs/>
        </w:rPr>
        <w:t xml:space="preserve">Предусловия:</w:t>
      </w:r>
      <w:r>
        <w:t xml:space="preserve"> </w:t>
      </w:r>
      <w:r>
        <w:t xml:space="preserve">настроенное последовательное сканирование, один или несколько переключателей, критический сценарий.</w:t>
      </w:r>
    </w:p>
    <w:p>
      <w:pPr>
        <w:pStyle w:val="Compact"/>
        <w:numPr>
          <w:ilvl w:val="0"/>
          <w:numId w:val="1018"/>
        </w:numPr>
      </w:pPr>
      <w:r>
        <w:rPr>
          <w:b/>
          <w:bCs/>
        </w:rPr>
        <w:t xml:space="preserve">Шаги и параметры:</w:t>
      </w:r>
      <w:r>
        <w:t xml:space="preserve"> </w:t>
      </w:r>
      <w:r>
        <w:t xml:space="preserve">запустить сканирование; пройти каждый элемент вперед и назад доступным способом; открыть меню действий; активировать, изменить значение и вернуться; проверить модальный диалог, прокрутку и виртуализированный список.</w:t>
      </w:r>
    </w:p>
    <w:p>
      <w:pPr>
        <w:pStyle w:val="Compact"/>
        <w:numPr>
          <w:ilvl w:val="0"/>
          <w:numId w:val="1018"/>
        </w:numPr>
      </w:pPr>
      <w:r>
        <w:rPr>
          <w:b/>
          <w:bCs/>
        </w:rPr>
        <w:t xml:space="preserve">Прохождение/нарушение:</w:t>
      </w:r>
      <w:r>
        <w:t xml:space="preserve"> </w:t>
      </w:r>
      <w:r>
        <w:t xml:space="preserve">проходит, если каждый необходимый элемент достигается в смысловом порядке, выделение различимо, действие выполняется и состояние доступно; нарушение при пропуске, цикле, недоступном действии или потере выделения.</w:t>
      </w:r>
    </w:p>
    <w:p>
      <w:pPr>
        <w:pStyle w:val="Compact"/>
        <w:numPr>
          <w:ilvl w:val="0"/>
          <w:numId w:val="1018"/>
        </w:numPr>
      </w:pPr>
      <w:r>
        <w:rPr>
          <w:b/>
          <w:bCs/>
        </w:rPr>
        <w:t xml:space="preserve">NA/не проверено:</w:t>
      </w:r>
      <w:r>
        <w:t xml:space="preserve"> </w:t>
      </w:r>
      <w:r>
        <w:t xml:space="preserve">NA при документированном отсутствии функции платформы; не проверено без настроенного устройства ввода.</w:t>
      </w:r>
    </w:p>
    <w:p>
      <w:pPr>
        <w:pStyle w:val="Compact"/>
        <w:numPr>
          <w:ilvl w:val="0"/>
          <w:numId w:val="1018"/>
        </w:numPr>
      </w:pPr>
      <w:r>
        <w:rPr>
          <w:b/>
          <w:bCs/>
        </w:rPr>
        <w:t xml:space="preserve">Минимальное доказательство:</w:t>
      </w:r>
      <w:r>
        <w:t xml:space="preserve"> </w:t>
      </w:r>
      <w:r>
        <w:t xml:space="preserve">запись сканирования, порядок, выделение, действие и состояние до и после.</w:t>
      </w:r>
    </w:p>
    <w:p>
      <w:pPr>
        <w:pStyle w:val="Compact"/>
        <w:numPr>
          <w:ilvl w:val="0"/>
          <w:numId w:val="1018"/>
        </w:numPr>
      </w:pPr>
      <w:r>
        <w:rPr>
          <w:b/>
          <w:bCs/>
        </w:rPr>
        <w:t xml:space="preserve">Нормативная ссылка:</w:t>
      </w:r>
      <w:r>
        <w:t xml:space="preserve"> </w:t>
      </w:r>
      <w:hyperlink r:id="rId65">
        <w:r>
          <w:rPr>
            <w:rStyle w:val="Hyperlink"/>
          </w:rPr>
          <w:t xml:space="preserve">WCAG 2.1.1</w:t>
        </w:r>
      </w:hyperlink>
      <w:r>
        <w:t xml:space="preserve">,</w:t>
      </w:r>
      <w:r>
        <w:t xml:space="preserve"> </w:t>
      </w:r>
      <w:hyperlink r:id="rId25">
        <w:r>
          <w:rPr>
            <w:rStyle w:val="Hyperlink"/>
          </w:rPr>
          <w:t xml:space="preserve">2.4.3</w:t>
        </w:r>
      </w:hyperlink>
      <w:r>
        <w:t xml:space="preserve">,</w:t>
      </w:r>
      <w:r>
        <w:t xml:space="preserve"> </w:t>
      </w:r>
      <w:hyperlink r:id="rId68">
        <w:r>
          <w:rPr>
            <w:rStyle w:val="Hyperlink"/>
          </w:rPr>
          <w:t xml:space="preserve">2.4.7</w:t>
        </w:r>
      </w:hyperlink>
      <w:r>
        <w:t xml:space="preserve">,</w:t>
      </w:r>
      <w:r>
        <w:t xml:space="preserve"> </w:t>
      </w:r>
      <w:hyperlink r:id="rId22">
        <w:r>
          <w:rPr>
            <w:rStyle w:val="Hyperlink"/>
          </w:rPr>
          <w:t xml:space="preserve">4.1.2</w:t>
        </w:r>
      </w:hyperlink>
      <w:r>
        <w:t xml:space="preserve">,</w:t>
      </w:r>
      <w:r>
        <w:t xml:space="preserve"> </w:t>
      </w:r>
      <w:hyperlink r:id="rId21">
        <w:r>
          <w:rPr>
            <w:rStyle w:val="Hyperlink"/>
          </w:rPr>
          <w:t xml:space="preserve">EN 301 549 V4.1.1, 11.2.1.1, 11.2.4.3, 11.2.4.7 и 11.5.2</w:t>
        </w:r>
      </w:hyperlink>
      <w:r>
        <w:t xml:space="preserve">.</w:t>
      </w:r>
    </w:p>
    <w:p>
      <w:pPr>
        <w:pStyle w:val="Compact"/>
        <w:numPr>
          <w:ilvl w:val="0"/>
          <w:numId w:val="1018"/>
        </w:numPr>
      </w:pPr>
      <w:r>
        <w:rPr>
          <w:b/>
          <w:bCs/>
        </w:rPr>
        <w:t xml:space="preserve">Граница проекта:</w:t>
      </w:r>
      <w:r>
        <w:t xml:space="preserve"> </w:t>
      </w:r>
      <w:r>
        <w:t xml:space="preserve">требование проверить системное управление переключателями в минимальной матрице является</w:t>
      </w:r>
      <w:r>
        <w:t xml:space="preserve"> </w:t>
      </w:r>
      <w:r>
        <w:rPr>
          <w:b/>
          <w:bCs/>
        </w:rPr>
        <w:t xml:space="preserve">Предложением проекта</w:t>
      </w:r>
      <w:r>
        <w:t xml:space="preserve">.</w:t>
      </w:r>
    </w:p>
    <w:bookmarkEnd w:id="70"/>
    <w:bookmarkStart w:id="71" w:name="в-18.-системные-настройки-доступности"/>
    <w:p>
      <w:pPr>
        <w:pStyle w:val="Heading3"/>
      </w:pPr>
      <w:bookmarkStart w:id="2002" w:name="_TocAnchor168_2001"/>
      <w:r>
        <w:t xml:space="preserve">В-18. Системные настройки доступности</w:t>
      </w:r>
      <w:bookmarkEnd w:id="2002"/>
    </w:p>
    <w:p>
      <w:pPr>
        <w:pStyle w:val="Compact"/>
        <w:numPr>
          <w:ilvl w:val="0"/>
          <w:numId w:val="1019"/>
        </w:numPr>
      </w:pPr>
      <w:r>
        <w:rPr>
          <w:b/>
          <w:bCs/>
        </w:rPr>
        <w:t xml:space="preserve">Применимость:</w:t>
      </w:r>
      <w:r>
        <w:t xml:space="preserve"> </w:t>
      </w:r>
      <w:r>
        <w:t xml:space="preserve">все приложения, не изолированные от платформы.</w:t>
      </w:r>
    </w:p>
    <w:p>
      <w:pPr>
        <w:pStyle w:val="Compact"/>
        <w:numPr>
          <w:ilvl w:val="0"/>
          <w:numId w:val="1019"/>
        </w:numPr>
      </w:pPr>
      <w:r>
        <w:rPr>
          <w:b/>
          <w:bCs/>
        </w:rPr>
        <w:t xml:space="preserve">Предусловия:</w:t>
      </w:r>
      <w:r>
        <w:t xml:space="preserve"> </w:t>
      </w:r>
      <w:r>
        <w:t xml:space="preserve">конфигурации экранной лупы, контраста или инверсии, увеличенного текста и уменьшения движения.</w:t>
      </w:r>
    </w:p>
    <w:p>
      <w:pPr>
        <w:pStyle w:val="Compact"/>
        <w:numPr>
          <w:ilvl w:val="0"/>
          <w:numId w:val="1019"/>
        </w:numPr>
      </w:pPr>
      <w:r>
        <w:rPr>
          <w:b/>
          <w:bCs/>
        </w:rPr>
        <w:t xml:space="preserve">Шаги и параметры:</w:t>
      </w:r>
      <w:r>
        <w:t xml:space="preserve"> </w:t>
      </w:r>
      <w:r>
        <w:t xml:space="preserve">пройти один и тот же сценарий в каждой конфигурации. Подрезультат 11.6.2: проверить, нарушает ли приложение нормальную работу документированной функции доступности и было ли такое нарушение прямо запрошено пользователем во время работы. Подрезультат 11.7: проверить следование значениям пользовательских предпочтений для документированных функций и отдельно обосновать существенность любого отступления. Выполнить применимый протокол Г-08.</w:t>
      </w:r>
    </w:p>
    <w:p>
      <w:pPr>
        <w:pStyle w:val="Compact"/>
        <w:numPr>
          <w:ilvl w:val="0"/>
          <w:numId w:val="1019"/>
        </w:numPr>
      </w:pPr>
      <w:r>
        <w:rPr>
          <w:b/>
          <w:bCs/>
        </w:rPr>
        <w:t xml:space="preserve">Прохождение/нарушение:</w:t>
      </w:r>
      <w:r>
        <w:t xml:space="preserve"> </w:t>
      </w:r>
      <w:r>
        <w:t xml:space="preserve">подрезультат 11.6.2 проходит, если нарушения нет либо оно прямо запрошено пользователем; исключение существенности здесь не применяется. Подрезультат 11.7 проходит, если предпочтения соблюдены либо доказано, что отступление существенно для функции приложения. Нарушение записывается по конкретному подрезультату.</w:t>
      </w:r>
    </w:p>
    <w:p>
      <w:pPr>
        <w:pStyle w:val="Compact"/>
        <w:numPr>
          <w:ilvl w:val="0"/>
          <w:numId w:val="1019"/>
        </w:numPr>
      </w:pPr>
      <w:r>
        <w:rPr>
          <w:b/>
          <w:bCs/>
        </w:rPr>
        <w:t xml:space="preserve">NA/не проверено:</w:t>
      </w:r>
      <w:r>
        <w:t xml:space="preserve"> </w:t>
      </w:r>
      <w:r>
        <w:t xml:space="preserve">NA только для конкретной функции, отсутствующей на платформе; не проверено без требуемого устройства или настройки.</w:t>
      </w:r>
    </w:p>
    <w:p>
      <w:pPr>
        <w:pStyle w:val="Compact"/>
        <w:numPr>
          <w:ilvl w:val="0"/>
          <w:numId w:val="1019"/>
        </w:numPr>
      </w:pPr>
      <w:r>
        <w:rPr>
          <w:b/>
          <w:bCs/>
        </w:rPr>
        <w:t xml:space="preserve">Минимальное доказательство:</w:t>
      </w:r>
      <w:r>
        <w:t xml:space="preserve"> </w:t>
      </w:r>
      <w:r>
        <w:t xml:space="preserve">значения настроек, парные снимки или записи, фактическое поведение, запрос пользователя для исключения 11.6.2 либо отдельное обоснование существенности для 11.7.</w:t>
      </w:r>
    </w:p>
    <w:p>
      <w:pPr>
        <w:pStyle w:val="Compact"/>
        <w:numPr>
          <w:ilvl w:val="0"/>
          <w:numId w:val="1019"/>
        </w:numPr>
      </w:pPr>
      <w:r>
        <w:rPr>
          <w:b/>
          <w:bCs/>
        </w:rPr>
        <w:t xml:space="preserve">Нормативная ссылка:</w:t>
      </w:r>
      <w:r>
        <w:t xml:space="preserve"> </w:t>
      </w:r>
      <w:hyperlink r:id="rId21">
        <w:r>
          <w:rPr>
            <w:rStyle w:val="Hyperlink"/>
          </w:rPr>
          <w:t xml:space="preserve">EN 301 549 V4.1.1, 11.6.2 и 11.7</w:t>
        </w:r>
      </w:hyperlink>
      <w:r>
        <w:t xml:space="preserve">.</w:t>
      </w:r>
    </w:p>
    <w:p>
      <w:pPr>
        <w:pStyle w:val="Compact"/>
        <w:numPr>
          <w:ilvl w:val="0"/>
          <w:numId w:val="1019"/>
        </w:numPr>
      </w:pPr>
      <w:r>
        <w:rPr>
          <w:b/>
          <w:bCs/>
        </w:rPr>
        <w:t xml:space="preserve">Граница проекта:</w:t>
      </w:r>
      <w:r>
        <w:t xml:space="preserve"> </w:t>
      </w:r>
      <w:r>
        <w:t xml:space="preserve">ожидание следовать недокументированной настройке не вводится без принятого дополнительного профиля.</w:t>
      </w:r>
    </w:p>
    <w:bookmarkEnd w:id="71"/>
    <w:bookmarkStart w:id="74" w:name="Xaf103d0197ab88fa777252dff8beaac40686cbe"/>
    <w:p>
      <w:pPr>
        <w:pStyle w:val="Heading3"/>
      </w:pPr>
      <w:bookmarkStart w:id="2004" w:name="_TocAnchor177_2003"/>
      <w:r>
        <w:t xml:space="preserve">В-19. Системные диалоги, разрешения и возврат</w:t>
      </w:r>
      <w:bookmarkEnd w:id="2004"/>
    </w:p>
    <w:p>
      <w:pPr>
        <w:pStyle w:val="Compact"/>
        <w:numPr>
          <w:ilvl w:val="0"/>
          <w:numId w:val="1020"/>
        </w:numPr>
      </w:pPr>
      <w:r>
        <w:rPr>
          <w:b/>
          <w:bCs/>
        </w:rPr>
        <w:t xml:space="preserve">Применимость:</w:t>
      </w:r>
      <w:r>
        <w:t xml:space="preserve"> </w:t>
      </w:r>
      <w:r>
        <w:t xml:space="preserve">камера, микрофон, геопозиция, файлы, уведомления, внешние настройки и иные системные запросы.</w:t>
      </w:r>
    </w:p>
    <w:p>
      <w:pPr>
        <w:pStyle w:val="Compact"/>
        <w:numPr>
          <w:ilvl w:val="0"/>
          <w:numId w:val="1020"/>
        </w:numPr>
      </w:pPr>
      <w:r>
        <w:rPr>
          <w:b/>
          <w:bCs/>
        </w:rPr>
        <w:t xml:space="preserve">Предусловия:</w:t>
      </w:r>
      <w:r>
        <w:t xml:space="preserve"> </w:t>
      </w:r>
      <w:r>
        <w:t xml:space="preserve">сброшенное разрешение, объяснение назначения, состояния согласия, отказа и повторного запроса.</w:t>
      </w:r>
    </w:p>
    <w:p>
      <w:pPr>
        <w:pStyle w:val="Compact"/>
        <w:numPr>
          <w:ilvl w:val="0"/>
          <w:numId w:val="1020"/>
        </w:numPr>
      </w:pPr>
      <w:r>
        <w:rPr>
          <w:b/>
          <w:bCs/>
        </w:rPr>
        <w:t xml:space="preserve">Шаги и параметры:</w:t>
      </w:r>
      <w:r>
        <w:t xml:space="preserve"> </w:t>
      </w:r>
      <w:r>
        <w:t xml:space="preserve">дойти до функции без разрешения; открыть системный диалог; выбрать согласие и отказ в отдельных прогонах; перейти в настройки при необходимости; вернуться и проверить порядок фокуса и отсутствие неожиданного изменения контекста. Отдельно зафиксировать ответственность платформы за собственный диалог. При включенном проектном профиле до запроса проверить объяснение назначения, а после отказа и возврата отсутствие тупика и сохранение контекста, данных и фокуса. Выполнить протоколы Г-06 и Г-07.</w:t>
      </w:r>
    </w:p>
    <w:p>
      <w:pPr>
        <w:pStyle w:val="Compact"/>
        <w:numPr>
          <w:ilvl w:val="0"/>
          <w:numId w:val="1020"/>
        </w:numPr>
      </w:pPr>
      <w:r>
        <w:rPr>
          <w:b/>
          <w:bCs/>
        </w:rPr>
        <w:t xml:space="preserve">Прохождение/нарушение:</w:t>
      </w:r>
      <w:r>
        <w:t xml:space="preserve"> </w:t>
      </w:r>
      <w:r>
        <w:t xml:space="preserve">нормативные подрезультаты проходят, если приложение сохраняет смысловой порядок фокуса и не вызывает изменение контекста только при получении фокуса или изменении значения. Доступность системного диалога оценивается как свойство платформы и не приписывается приложению.</w:t>
      </w:r>
      <w:r>
        <w:t xml:space="preserve"> </w:t>
      </w:r>
      <w:r>
        <w:rPr>
          <w:b/>
          <w:bCs/>
        </w:rPr>
        <w:t xml:space="preserve">Предложение проекта:</w:t>
      </w:r>
      <w:r>
        <w:t xml:space="preserve"> </w:t>
      </w:r>
      <w:r>
        <w:t xml:space="preserve">понятное объяснение до запроса, отсутствие тупика после отказа и сохранение контекста, данных и фокуса образуют отдельный проектный подрезультат только при включенном профиле.</w:t>
      </w:r>
    </w:p>
    <w:p>
      <w:pPr>
        <w:pStyle w:val="Compact"/>
        <w:numPr>
          <w:ilvl w:val="0"/>
          <w:numId w:val="1020"/>
        </w:numPr>
      </w:pPr>
      <w:r>
        <w:rPr>
          <w:b/>
          <w:bCs/>
        </w:rPr>
        <w:t xml:space="preserve">NA/не проверено:</w:t>
      </w:r>
      <w:r>
        <w:t xml:space="preserve"> </w:t>
      </w:r>
      <w:r>
        <w:t xml:space="preserve">NA без разрешений и системных переходов; не проверено, если политика устройства блокирует изменение разрешения.</w:t>
      </w:r>
    </w:p>
    <w:p>
      <w:pPr>
        <w:pStyle w:val="Compact"/>
        <w:numPr>
          <w:ilvl w:val="0"/>
          <w:numId w:val="1020"/>
        </w:numPr>
      </w:pPr>
      <w:r>
        <w:rPr>
          <w:b/>
          <w:bCs/>
        </w:rPr>
        <w:t xml:space="preserve">Минимальное доказательство:</w:t>
      </w:r>
      <w:r>
        <w:t xml:space="preserve"> </w:t>
      </w:r>
      <w:r>
        <w:t xml:space="preserve">экран до запроса, системный диалог, оба результата, порядок фокуса и состояние после возврата; проектные условия записываются отдельно от нормативных.</w:t>
      </w:r>
    </w:p>
    <w:p>
      <w:pPr>
        <w:pStyle w:val="Compact"/>
        <w:numPr>
          <w:ilvl w:val="0"/>
          <w:numId w:val="1020"/>
        </w:numPr>
      </w:pPr>
      <w:r>
        <w:rPr>
          <w:b/>
          <w:bCs/>
        </w:rPr>
        <w:t xml:space="preserve">Нормативная ссылка:</w:t>
      </w:r>
      <w:r>
        <w:t xml:space="preserve"> </w:t>
      </w:r>
      <w:hyperlink r:id="rId25">
        <w:r>
          <w:rPr>
            <w:rStyle w:val="Hyperlink"/>
          </w:rPr>
          <w:t xml:space="preserve">WCAG 2.4.3</w:t>
        </w:r>
      </w:hyperlink>
      <w:r>
        <w:t xml:space="preserve">,</w:t>
      </w:r>
      <w:r>
        <w:t xml:space="preserve"> </w:t>
      </w:r>
      <w:hyperlink r:id="rId72">
        <w:r>
          <w:rPr>
            <w:rStyle w:val="Hyperlink"/>
          </w:rPr>
          <w:t xml:space="preserve">3.2.1</w:t>
        </w:r>
      </w:hyperlink>
      <w:r>
        <w:t xml:space="preserve">,</w:t>
      </w:r>
      <w:r>
        <w:t xml:space="preserve"> </w:t>
      </w:r>
      <w:hyperlink r:id="rId73">
        <w:r>
          <w:rPr>
            <w:rStyle w:val="Hyperlink"/>
          </w:rPr>
          <w:t xml:space="preserve">3.2.2</w:t>
        </w:r>
      </w:hyperlink>
      <w:r>
        <w:t xml:space="preserve">,</w:t>
      </w:r>
      <w:r>
        <w:t xml:space="preserve"> </w:t>
      </w:r>
      <w:hyperlink r:id="rId21">
        <w:r>
          <w:rPr>
            <w:rStyle w:val="Hyperlink"/>
          </w:rPr>
          <w:t xml:space="preserve">EN 301 549 V4.1.1, 11.2.4.3, 11.3.2.1 и 11.3.2.2</w:t>
        </w:r>
      </w:hyperlink>
      <w:r>
        <w:t xml:space="preserve">.</w:t>
      </w:r>
    </w:p>
    <w:p>
      <w:pPr>
        <w:pStyle w:val="Compact"/>
        <w:numPr>
          <w:ilvl w:val="0"/>
          <w:numId w:val="1020"/>
        </w:numPr>
      </w:pPr>
      <w:r>
        <w:rPr>
          <w:b/>
          <w:bCs/>
        </w:rPr>
        <w:t xml:space="preserve">Граница проекта:</w:t>
      </w:r>
      <w:r>
        <w:t xml:space="preserve"> </w:t>
      </w:r>
      <w:r>
        <w:t xml:space="preserve">условия понятности, отсутствия тупика и сохранения данных шире перечисленных нормативных пунктов и являются</w:t>
      </w:r>
      <w:r>
        <w:t xml:space="preserve"> </w:t>
      </w:r>
      <w:r>
        <w:rPr>
          <w:b/>
          <w:bCs/>
        </w:rPr>
        <w:t xml:space="preserve">Предложением проекта</w:t>
      </w:r>
      <w:r>
        <w:t xml:space="preserve">. Ответственность приложения и платформы не объединяется в один нормативный результат.</w:t>
      </w:r>
    </w:p>
    <w:bookmarkEnd w:id="74"/>
    <w:bookmarkStart w:id="75" w:name="в-20.-встроенные-веб-представления"/>
    <w:p>
      <w:pPr>
        <w:pStyle w:val="Heading3"/>
      </w:pPr>
      <w:bookmarkStart w:id="2006" w:name="_TocAnchor186_2005"/>
      <w:r>
        <w:t xml:space="preserve">В-20. Встроенные веб-представления</w:t>
      </w:r>
      <w:bookmarkEnd w:id="2006"/>
    </w:p>
    <w:p>
      <w:pPr>
        <w:pStyle w:val="Compact"/>
        <w:numPr>
          <w:ilvl w:val="0"/>
          <w:numId w:val="1021"/>
        </w:numPr>
      </w:pPr>
      <w:r>
        <w:rPr>
          <w:b/>
          <w:bCs/>
        </w:rPr>
        <w:t xml:space="preserve">Применимость:</w:t>
      </w:r>
      <w:r>
        <w:t xml:space="preserve"> </w:t>
      </w:r>
      <w:r>
        <w:t xml:space="preserve">веб-содержимое, встроенное в приложение, включая вход, справку, оплату и внешний контент внутри контейнера.</w:t>
      </w:r>
    </w:p>
    <w:p>
      <w:pPr>
        <w:pStyle w:val="Compact"/>
        <w:numPr>
          <w:ilvl w:val="0"/>
          <w:numId w:val="1021"/>
        </w:numPr>
      </w:pPr>
      <w:r>
        <w:rPr>
          <w:b/>
          <w:bCs/>
        </w:rPr>
        <w:t xml:space="preserve">Предусловия:</w:t>
      </w:r>
      <w:r>
        <w:t xml:space="preserve"> </w:t>
      </w:r>
      <w:r>
        <w:t xml:space="preserve">известная граница нативного и веб-слоя, разрешенные адреса, применимые протоколы раздела А.</w:t>
      </w:r>
    </w:p>
    <w:p>
      <w:pPr>
        <w:pStyle w:val="Compact"/>
        <w:numPr>
          <w:ilvl w:val="0"/>
          <w:numId w:val="1021"/>
        </w:numPr>
      </w:pPr>
      <w:r>
        <w:rPr>
          <w:b/>
          <w:bCs/>
        </w:rPr>
        <w:t xml:space="preserve">Шаги и параметры:</w:t>
      </w:r>
      <w:r>
        <w:t xml:space="preserve"> </w:t>
      </w:r>
      <w:r>
        <w:t xml:space="preserve">начать в нативном экране; перейти в веб-представление; пройти применимые процедуры А для содержимого и сопоставить каждый подрезультат с точным нормативным пунктом EN 11.x; проверить контейнер, заголовок, обход, клавиатуру, возврат, открытие внешней программы и сохранение контекста; повторить с программой экранного доступа.</w:t>
      </w:r>
    </w:p>
    <w:p>
      <w:pPr>
        <w:pStyle w:val="Compact"/>
        <w:numPr>
          <w:ilvl w:val="0"/>
          <w:numId w:val="1021"/>
        </w:numPr>
      </w:pPr>
      <w:r>
        <w:rPr>
          <w:b/>
          <w:bCs/>
        </w:rPr>
        <w:t xml:space="preserve">Прохождение/нарушение:</w:t>
      </w:r>
      <w:r>
        <w:t xml:space="preserve"> </w:t>
      </w:r>
      <w:r>
        <w:t xml:space="preserve">проходит, если содержимое выполняет применимые нормативные требования раздела 11, проверенные процедурами А, контейнер выполняет применимые карточки В, а граница не разрывает управление и контекст; нарушение записывается по точному пункту 11.x без двойного учета по разделу 9.</w:t>
      </w:r>
    </w:p>
    <w:p>
      <w:pPr>
        <w:pStyle w:val="Compact"/>
        <w:numPr>
          <w:ilvl w:val="0"/>
          <w:numId w:val="1021"/>
        </w:numPr>
      </w:pPr>
      <w:r>
        <w:rPr>
          <w:b/>
          <w:bCs/>
        </w:rPr>
        <w:t xml:space="preserve">NA/не проверено:</w:t>
      </w:r>
      <w:r>
        <w:t xml:space="preserve"> </w:t>
      </w:r>
      <w:r>
        <w:t xml:space="preserve">NA без веб-представлений; не проверено без сети, роли или разрешенного доступа.</w:t>
      </w:r>
    </w:p>
    <w:p>
      <w:pPr>
        <w:pStyle w:val="Compact"/>
        <w:numPr>
          <w:ilvl w:val="0"/>
          <w:numId w:val="1021"/>
        </w:numPr>
      </w:pPr>
      <w:r>
        <w:rPr>
          <w:b/>
          <w:bCs/>
        </w:rPr>
        <w:t xml:space="preserve">Минимальное доказательство:</w:t>
      </w:r>
      <w:r>
        <w:t xml:space="preserve"> </w:t>
      </w:r>
      <w:r>
        <w:t xml:space="preserve">адрес или устойчивый идентификатор содержимого, граница слоев, последовательность фокуса, результаты применимых проверок А и возврат.</w:t>
      </w:r>
    </w:p>
    <w:p>
      <w:pPr>
        <w:pStyle w:val="Compact"/>
        <w:numPr>
          <w:ilvl w:val="0"/>
          <w:numId w:val="1021"/>
        </w:numPr>
      </w:pPr>
      <w:r>
        <w:rPr>
          <w:b/>
          <w:bCs/>
        </w:rPr>
        <w:t xml:space="preserve">Нормативная ссылка:</w:t>
      </w:r>
      <w:r>
        <w:t xml:space="preserve"> </w:t>
      </w:r>
      <w:r>
        <w:t xml:space="preserve">применимые точные нормативные пункты</w:t>
      </w:r>
      <w:r>
        <w:t xml:space="preserve"> </w:t>
      </w:r>
      <w:hyperlink r:id="rId21">
        <w:r>
          <w:rPr>
            <w:rStyle w:val="Hyperlink"/>
          </w:rPr>
          <w:t xml:space="preserve">EN 301 549 V4.1.1, 11.1-11.4</w:t>
        </w:r>
      </w:hyperlink>
      <w:r>
        <w:t xml:space="preserve">, указанные для каждого подрезультата.</w:t>
      </w:r>
    </w:p>
    <w:p>
      <w:pPr>
        <w:pStyle w:val="Compact"/>
        <w:numPr>
          <w:ilvl w:val="0"/>
          <w:numId w:val="1021"/>
        </w:numPr>
      </w:pPr>
      <w:r>
        <w:rPr>
          <w:b/>
          <w:bCs/>
        </w:rPr>
        <w:t xml:space="preserve">Граница проекта:</w:t>
      </w:r>
      <w:r>
        <w:t xml:space="preserve"> </w:t>
      </w:r>
      <w:r>
        <w:t xml:space="preserve">информативный EN 11.0 определяет область, а</w:t>
      </w:r>
      <w:r>
        <w:t xml:space="preserve"> </w:t>
      </w:r>
      <w:hyperlink r:id="rId19">
        <w:r>
          <w:rPr>
            <w:rStyle w:val="Hyperlink"/>
          </w:rPr>
          <w:t xml:space="preserve">WCAG2ICT</w:t>
        </w:r>
      </w:hyperlink>
      <w:r>
        <w:t xml:space="preserve"> </w:t>
      </w:r>
      <w:r>
        <w:t xml:space="preserve">поясняет перенос веб-критериев, но они не являются нормативным основанием результата. Раздел А используется как процедура проверки веб-семантики; встроенное представление остается частью результата В и не учитывается дважды.</w:t>
      </w:r>
    </w:p>
    <w:bookmarkEnd w:id="75"/>
    <w:bookmarkStart w:id="81" w:name="в-21.-аудио-и-видео"/>
    <w:p>
      <w:pPr>
        <w:pStyle w:val="Heading3"/>
      </w:pPr>
      <w:bookmarkStart w:id="2008" w:name="_TocAnchor195_2007"/>
      <w:r>
        <w:t xml:space="preserve">В-21. Аудио и видео</w:t>
      </w:r>
      <w:bookmarkEnd w:id="2008"/>
    </w:p>
    <w:p>
      <w:pPr>
        <w:pStyle w:val="Compact"/>
        <w:numPr>
          <w:ilvl w:val="0"/>
          <w:numId w:val="1022"/>
        </w:numPr>
      </w:pPr>
      <w:r>
        <w:rPr>
          <w:b/>
          <w:bCs/>
        </w:rPr>
        <w:t xml:space="preserve">Применимость:</w:t>
      </w:r>
      <w:r>
        <w:t xml:space="preserve"> </w:t>
      </w:r>
      <w:r>
        <w:t xml:space="preserve">записанное и прямое аудио, видео, синхронизированное медиа и встроенный проигрыватель.</w:t>
      </w:r>
    </w:p>
    <w:p>
      <w:pPr>
        <w:pStyle w:val="Compact"/>
        <w:numPr>
          <w:ilvl w:val="0"/>
          <w:numId w:val="1022"/>
        </w:numPr>
      </w:pPr>
      <w:r>
        <w:rPr>
          <w:b/>
          <w:bCs/>
        </w:rPr>
        <w:t xml:space="preserve">Предусловия:</w:t>
      </w:r>
      <w:r>
        <w:t xml:space="preserve"> </w:t>
      </w:r>
      <w:r>
        <w:t xml:space="preserve">известный язык и полный набор заявленных альтернатив.</w:t>
      </w:r>
      <w:r>
        <w:t xml:space="preserve"> </w:t>
      </w:r>
      <w:r>
        <w:rPr>
          <w:b/>
          <w:bCs/>
        </w:rPr>
        <w:t xml:space="preserve">Предложение проекта:</w:t>
      </w:r>
      <w:r>
        <w:t xml:space="preserve"> </w:t>
      </w:r>
      <w:r>
        <w:t xml:space="preserve">в выборку включается не менее одного доступного образца каждого выявленного вида: записанного аудио без видео, записанного видео без звука, записанного синхронизированного медиа и прямого медиа; полнота экземпляров определяется В.3.</w:t>
      </w:r>
    </w:p>
    <w:p>
      <w:pPr>
        <w:pStyle w:val="Compact"/>
        <w:numPr>
          <w:ilvl w:val="0"/>
          <w:numId w:val="1022"/>
        </w:numPr>
      </w:pPr>
      <w:r>
        <w:rPr>
          <w:b/>
          <w:bCs/>
        </w:rPr>
        <w:t xml:space="preserve">Шаги и параметры:</w:t>
      </w:r>
      <w:r>
        <w:t xml:space="preserve"> </w:t>
      </w:r>
      <w:r>
        <w:t xml:space="preserve">отдельно проверить транскрипт, субтитры, аудиоописание или медиальтернативу по применимому критерию; управлять воспроизведением касанием, программой экранного доступа, внешней клавиатурой и переключателями; изменить ориентацию и размер текста субтитров.</w:t>
      </w:r>
    </w:p>
    <w:p>
      <w:pPr>
        <w:pStyle w:val="Compact"/>
        <w:numPr>
          <w:ilvl w:val="0"/>
          <w:numId w:val="1022"/>
        </w:numPr>
      </w:pPr>
      <w:r>
        <w:rPr>
          <w:b/>
          <w:bCs/>
        </w:rPr>
        <w:t xml:space="preserve">Прохождение/нарушение:</w:t>
      </w:r>
      <w:r>
        <w:t xml:space="preserve"> </w:t>
      </w:r>
      <w:r>
        <w:t xml:space="preserve">проходит, если каждая требуемая альтернатива доступна, синхронизирована и управляема; нарушение при отсутствующей альтернативе или недоступном управлении.</w:t>
      </w:r>
    </w:p>
    <w:p>
      <w:pPr>
        <w:pStyle w:val="Compact"/>
        <w:numPr>
          <w:ilvl w:val="0"/>
          <w:numId w:val="1022"/>
        </w:numPr>
      </w:pPr>
      <w:r>
        <w:rPr>
          <w:b/>
          <w:bCs/>
        </w:rPr>
        <w:t xml:space="preserve">NA/не проверено:</w:t>
      </w:r>
      <w:r>
        <w:t xml:space="preserve"> </w:t>
      </w:r>
      <w:r>
        <w:t xml:space="preserve">NA отдельно для отсутствующего вида медиа; не проверено при недоступном эфире, дорожке или состоянии.</w:t>
      </w:r>
    </w:p>
    <w:p>
      <w:pPr>
        <w:pStyle w:val="Compact"/>
        <w:numPr>
          <w:ilvl w:val="0"/>
          <w:numId w:val="1022"/>
        </w:numPr>
      </w:pPr>
      <w:r>
        <w:rPr>
          <w:b/>
          <w:bCs/>
        </w:rPr>
        <w:t xml:space="preserve">Минимальное доказательство:</w:t>
      </w:r>
      <w:r>
        <w:t xml:space="preserve"> </w:t>
      </w:r>
      <w:r>
        <w:t xml:space="preserve">фрагмент медиа, вид альтернативы, временные метки, элементы управления и запись их использования.</w:t>
      </w:r>
    </w:p>
    <w:p>
      <w:pPr>
        <w:pStyle w:val="Compact"/>
        <w:numPr>
          <w:ilvl w:val="0"/>
          <w:numId w:val="1022"/>
        </w:numPr>
      </w:pPr>
      <w:r>
        <w:rPr>
          <w:b/>
          <w:bCs/>
        </w:rPr>
        <w:t xml:space="preserve">Нормативная ссылка:</w:t>
      </w:r>
      <w:r>
        <w:t xml:space="preserve"> </w:t>
      </w:r>
      <w:hyperlink r:id="rId76">
        <w:r>
          <w:rPr>
            <w:rStyle w:val="Hyperlink"/>
          </w:rPr>
          <w:t xml:space="preserve">WCAG 1.2.1</w:t>
        </w:r>
      </w:hyperlink>
      <w:r>
        <w:t xml:space="preserve">,</w:t>
      </w:r>
      <w:r>
        <w:t xml:space="preserve"> </w:t>
      </w:r>
      <w:hyperlink r:id="rId77">
        <w:r>
          <w:rPr>
            <w:rStyle w:val="Hyperlink"/>
          </w:rPr>
          <w:t xml:space="preserve">1.2.2</w:t>
        </w:r>
      </w:hyperlink>
      <w:r>
        <w:t xml:space="preserve">,</w:t>
      </w:r>
      <w:r>
        <w:t xml:space="preserve"> </w:t>
      </w:r>
      <w:hyperlink r:id="rId78">
        <w:r>
          <w:rPr>
            <w:rStyle w:val="Hyperlink"/>
          </w:rPr>
          <w:t xml:space="preserve">1.2.3</w:t>
        </w:r>
      </w:hyperlink>
      <w:r>
        <w:t xml:space="preserve">,</w:t>
      </w:r>
      <w:r>
        <w:t xml:space="preserve"> </w:t>
      </w:r>
      <w:hyperlink r:id="rId79">
        <w:r>
          <w:rPr>
            <w:rStyle w:val="Hyperlink"/>
          </w:rPr>
          <w:t xml:space="preserve">1.2.4</w:t>
        </w:r>
      </w:hyperlink>
      <w:r>
        <w:t xml:space="preserve">,</w:t>
      </w:r>
      <w:r>
        <w:t xml:space="preserve"> </w:t>
      </w:r>
      <w:hyperlink r:id="rId80">
        <w:r>
          <w:rPr>
            <w:rStyle w:val="Hyperlink"/>
          </w:rPr>
          <w:t xml:space="preserve">1.2.5</w:t>
        </w:r>
      </w:hyperlink>
      <w:r>
        <w:t xml:space="preserve">.</w:t>
      </w:r>
    </w:p>
    <w:p>
      <w:pPr>
        <w:pStyle w:val="Compact"/>
        <w:numPr>
          <w:ilvl w:val="0"/>
          <w:numId w:val="1022"/>
        </w:numPr>
      </w:pPr>
      <w:r>
        <w:rPr>
          <w:b/>
          <w:bCs/>
        </w:rPr>
        <w:t xml:space="preserve">Граница проекта:</w:t>
      </w:r>
      <w:r>
        <w:t xml:space="preserve"> </w:t>
      </w:r>
      <w:r>
        <w:t xml:space="preserve">каждая альтернатива получает отдельный результат; наличие субтитров не заменяет аудиоописание и наоборот.</w:t>
      </w:r>
    </w:p>
    <w:bookmarkEnd w:id="81"/>
    <w:bookmarkStart w:id="83" w:name="Xf1b21dc9f26136336774493332fe12a4fec43de"/>
    <w:p>
      <w:pPr>
        <w:pStyle w:val="Heading3"/>
      </w:pPr>
      <w:bookmarkStart w:id="2010" w:name="_TocAnchor204_2009"/>
      <w:r>
        <w:t xml:space="preserve">В-22. Предотвращение ошибки, подтверждение, отмена и повторный ввод</w:t>
      </w:r>
      <w:bookmarkEnd w:id="2010"/>
    </w:p>
    <w:p>
      <w:pPr>
        <w:pStyle w:val="Compact"/>
        <w:numPr>
          <w:ilvl w:val="0"/>
          <w:numId w:val="1023"/>
        </w:numPr>
      </w:pPr>
      <w:r>
        <w:rPr>
          <w:b/>
          <w:bCs/>
        </w:rPr>
        <w:t xml:space="preserve">Применимость:</w:t>
      </w:r>
      <w:r>
        <w:t xml:space="preserve"> </w:t>
      </w:r>
      <w:r>
        <w:t xml:space="preserve">юридическое, финансовое, платежное или иное значимое действие, изменение или удаление пользовательских данных и многошаговая форма.</w:t>
      </w:r>
    </w:p>
    <w:p>
      <w:pPr>
        <w:pStyle w:val="Compact"/>
        <w:numPr>
          <w:ilvl w:val="0"/>
          <w:numId w:val="1023"/>
        </w:numPr>
      </w:pPr>
      <w:r>
        <w:rPr>
          <w:b/>
          <w:bCs/>
        </w:rPr>
        <w:t xml:space="preserve">Предусловия:</w:t>
      </w:r>
      <w:r>
        <w:t xml:space="preserve"> </w:t>
      </w:r>
      <w:r>
        <w:t xml:space="preserve">разрешенный стенд, обратимые тестовые данные, известные последствия, протокол Г-19 и применимые проверки раздела Д.</w:t>
      </w:r>
    </w:p>
    <w:p>
      <w:pPr>
        <w:pStyle w:val="Compact"/>
        <w:numPr>
          <w:ilvl w:val="0"/>
          <w:numId w:val="1023"/>
        </w:numPr>
      </w:pPr>
      <w:r>
        <w:rPr>
          <w:b/>
          <w:bCs/>
        </w:rPr>
        <w:t xml:space="preserve">Шаги и параметры:</w:t>
      </w:r>
      <w:r>
        <w:t xml:space="preserve"> </w:t>
      </w:r>
      <w:r>
        <w:t xml:space="preserve">ввести данные; перейти к подтверждению; проверить обзор и исправление; отменить или обратить действие; вернуться на предыдущий шаг; повторно использовать уже введенные сведения; проверить ошибочный и прерванный варианты без реального необратимого результата.</w:t>
      </w:r>
    </w:p>
    <w:p>
      <w:pPr>
        <w:pStyle w:val="Compact"/>
        <w:numPr>
          <w:ilvl w:val="0"/>
          <w:numId w:val="1023"/>
        </w:numPr>
      </w:pPr>
      <w:r>
        <w:rPr>
          <w:b/>
          <w:bCs/>
        </w:rPr>
        <w:t xml:space="preserve">Прохождение/нарушение:</w:t>
      </w:r>
      <w:r>
        <w:t xml:space="preserve"> </w:t>
      </w:r>
      <w:r>
        <w:t xml:space="preserve">проходит, если выполнено применимое условие предотвращения ошибки, действие доступно подтвердить или отменить, а повторный ввод не требуется без исключения; нарушение при необратимом результате без защиты или обязательном повторном вводе.</w:t>
      </w:r>
    </w:p>
    <w:p>
      <w:pPr>
        <w:pStyle w:val="Compact"/>
        <w:numPr>
          <w:ilvl w:val="0"/>
          <w:numId w:val="1023"/>
        </w:numPr>
      </w:pPr>
      <w:r>
        <w:rPr>
          <w:b/>
          <w:bCs/>
        </w:rPr>
        <w:t xml:space="preserve">NA/не проверено:</w:t>
      </w:r>
      <w:r>
        <w:t xml:space="preserve"> </w:t>
      </w:r>
      <w:r>
        <w:t xml:space="preserve">NA без значимых действий и повторного ввода; не проверено без разрешенного стенда или обратимого сценария.</w:t>
      </w:r>
    </w:p>
    <w:p>
      <w:pPr>
        <w:pStyle w:val="Compact"/>
        <w:numPr>
          <w:ilvl w:val="0"/>
          <w:numId w:val="1023"/>
        </w:numPr>
      </w:pPr>
      <w:r>
        <w:rPr>
          <w:b/>
          <w:bCs/>
        </w:rPr>
        <w:t xml:space="preserve">Минимальное доказательство:</w:t>
      </w:r>
      <w:r>
        <w:t xml:space="preserve"> </w:t>
      </w:r>
      <w:r>
        <w:t xml:space="preserve">шаги до подтверждения, обзор, исправление, отмена, состояние данных и причина остановки перед запрещенным действием.</w:t>
      </w:r>
    </w:p>
    <w:p>
      <w:pPr>
        <w:pStyle w:val="Compact"/>
        <w:numPr>
          <w:ilvl w:val="0"/>
          <w:numId w:val="1023"/>
        </w:numPr>
      </w:pPr>
      <w:r>
        <w:rPr>
          <w:b/>
          <w:bCs/>
        </w:rPr>
        <w:t xml:space="preserve">Нормативная ссылка:</w:t>
      </w:r>
      <w:r>
        <w:t xml:space="preserve"> </w:t>
      </w:r>
      <w:hyperlink r:id="rId82">
        <w:r>
          <w:rPr>
            <w:rStyle w:val="Hyperlink"/>
          </w:rPr>
          <w:t xml:space="preserve">WCAG 3.3.4</w:t>
        </w:r>
      </w:hyperlink>
      <w:r>
        <w:t xml:space="preserve">,</w:t>
      </w:r>
      <w:r>
        <w:t xml:space="preserve"> </w:t>
      </w:r>
      <w:hyperlink r:id="rId56">
        <w:r>
          <w:rPr>
            <w:rStyle w:val="Hyperlink"/>
          </w:rPr>
          <w:t xml:space="preserve">3.3.7</w:t>
        </w:r>
      </w:hyperlink>
      <w:r>
        <w:t xml:space="preserve">,</w:t>
      </w:r>
      <w:r>
        <w:t xml:space="preserve"> </w:t>
      </w:r>
      <w:hyperlink r:id="rId21">
        <w:r>
          <w:rPr>
            <w:rStyle w:val="Hyperlink"/>
          </w:rPr>
          <w:t xml:space="preserve">EN 301 549 V4.1.1, 11.3.3.4 и 11.3.3.7</w:t>
        </w:r>
      </w:hyperlink>
      <w:r>
        <w:t xml:space="preserve">.</w:t>
      </w:r>
    </w:p>
    <w:p>
      <w:pPr>
        <w:pStyle w:val="Compact"/>
        <w:numPr>
          <w:ilvl w:val="0"/>
          <w:numId w:val="1023"/>
        </w:numPr>
      </w:pPr>
      <w:r>
        <w:rPr>
          <w:b/>
          <w:bCs/>
        </w:rPr>
        <w:t xml:space="preserve">Граница проекта:</w:t>
      </w:r>
      <w:r>
        <w:t xml:space="preserve"> </w:t>
      </w:r>
      <w:r>
        <w:t xml:space="preserve">дополнительно применяются процедуры раздела Д. Тест не требует реального платежа, отправки или удаления; безопасно недостижимый результат получает статус «не проверено».</w:t>
      </w:r>
    </w:p>
    <w:bookmarkEnd w:id="83"/>
    <w:bookmarkEnd w:id="84"/>
    <w:bookmarkStart w:id="85" w:name="матрица-результата"/>
    <w:p>
      <w:pPr>
        <w:pStyle w:val="Heading2"/>
      </w:pPr>
      <w:bookmarkStart w:id="2012" w:name="_TocAnchor213_2011"/>
      <w:r>
        <w:t xml:space="preserve">Матрица результата</w:t>
      </w:r>
      <w:bookmarkEnd w:id="2012"/>
    </w:p>
    <w:p>
      <w:pPr>
        <w:pStyle w:val="FirstParagraph"/>
      </w:pPr>
      <w:r>
        <w:t xml:space="preserve">Итог по приложению содержит по каждой паре «платформа + версия приложения» перечень проверенных экранов и состояний, результат В-01-В-22, конфигурацию, доказательство и ограничение. Нарушение хотя бы в одной заявленной конфигурации не усредняется с прохождением в другой. Общий вывод допускается только в пределах фактически проверенных платформ, устройств, версий, ролей и сценариев.</w:t>
      </w:r>
    </w:p>
    <w:bookmarkEnd w:id="85"/>
    <w:sectPr>
      <w:footerReference r:id="rId9" w:type="default"/>
      <w:footnotePr>
        <w:numRestart w:val="eachSect"/>
      </w:footnotePr>
      <w:pgSz w:h="16838" w:w="11906"/>
      <w:pgMar w:bottom="1134" w:footer="709" w:gutter="0" w:header="709"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fldChar w:fldCharType="begin"/>
    </w:r>
    <w:r>
      <w:rPr>
        <w:rFonts w:ascii="Arial" w:hAnsi="Arial"/>
        <w:sz w:val="20"/>
      </w:rPr>
      <w:instrText xml:space="preserve"> PAGE  \* MERGEFORMAT </w:instrText>
    </w:r>
    <w:r>
      <w:rPr>
        <w:rFonts w:ascii="Arial" w:hAnsi="Arial"/>
        <w:sz w:val="20"/>
      </w:rPr>
      <w:fldChar w:fldCharType="separate"/>
    </w:r>
    <w:r>
      <w:rPr>
        <w:rFonts w:ascii="Arial" w:hAnsi="Arial"/>
        <w:sz w:val="20"/>
      </w:rPr>
      <w:t>1</w:t>
    </w:r>
    <w:r>
      <w:rPr>
        <w:rFonts w:ascii="Arial" w:hAnsi="Arial"/>
        <w:sz w:val="20"/>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4"/>
        <w:szCs w:val="24"/>
        <w:lang w:bidi="ar-SA" w:eastAsia="ru-RU" w:val="ru-RU"/>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Arial" w:cs="Arial" w:eastAsia="Arial" w:hAnsi="Arial"/>
      <w:sz w:val="22"/>
      <w:lang w:bidi="ar-SA" w:eastAsia="ru-RU" w:val="ru-RU"/>
    </w:rPr>
  </w:style>
  <w:style w:styleId="BodyText" w:type="paragraph">
    <w:name w:val="Body Text"/>
    <w:basedOn w:val="Normal"/>
    <w:link w:val="BodyTextChar"/>
    <w:qFormat/>
    <w:pPr>
      <w:spacing w:after="120" w:before="180" w:line="276" w:lineRule="auto"/>
    </w:pPr>
    <w:rPr>
      <w:rFonts w:ascii="Arial" w:cs="Arial" w:eastAsia="Arial" w:hAnsi="Arial"/>
      <w:sz w:val="22"/>
      <w:lang w:bidi="ar-SA" w:eastAsia="ru-RU" w:val="ru-RU"/>
    </w:rPr>
  </w:style>
  <w:style w:customStyle="1" w:styleId="FirstParagraph" w:type="paragraph">
    <w:name w:val="First Paragraph"/>
    <w:basedOn w:val="BodyText"/>
    <w:next w:val="BodyText"/>
    <w:qFormat/>
    <w:pPr>
      <w:spacing w:after="120" w:line="276" w:lineRule="auto"/>
    </w:pPr>
    <w:rPr>
      <w:rFonts w:ascii="Arial" w:cs="Arial" w:eastAsia="Arial" w:hAnsi="Arial"/>
      <w:sz w:val="22"/>
      <w:lang w:bidi="ar-SA" w:eastAsia="ru-RU" w:val="ru-RU"/>
    </w:rPr>
  </w:style>
  <w:style w:customStyle="1" w:styleId="Compact" w:type="paragraph">
    <w:name w:val="Compact"/>
    <w:basedOn w:val="BodyText"/>
    <w:qFormat/>
    <w:pPr>
      <w:spacing w:after="120" w:before="36" w:line="276" w:lineRule="auto"/>
    </w:pPr>
    <w:rPr>
      <w:rFonts w:ascii="Arial" w:cs="Arial" w:eastAsia="Arial" w:hAnsi="Arial"/>
      <w:sz w:val="22"/>
      <w:lang w:bidi="ar-SA" w:eastAsia="ru-RU" w:val="ru-RU"/>
    </w:rPr>
  </w:style>
  <w:style w:styleId="Title" w:type="paragraph">
    <w:name w:val="Title"/>
    <w:basedOn w:val="Normal"/>
    <w:next w:val="BodyText"/>
    <w:link w:val="TitleChar"/>
    <w:uiPriority w:val="10"/>
    <w:qFormat/>
    <w:rsid w:val="00A10FD9"/>
    <w:pPr>
      <w:spacing w:after="120" w:line="240" w:lineRule="auto"/>
      <w:contextualSpacing/>
      <w:jc w:val="center"/>
    </w:pPr>
    <w:rPr>
      <w:rFonts w:ascii="Arial" w:cs="Arial" w:eastAsia="Arial" w:hAnsi="Arial"/>
      <w:b/>
      <w:color w:val="12233B"/>
      <w:sz w:val="52"/>
      <w:szCs w:val="56"/>
      <w:lang w:bidi="ar-SA" w:eastAsia="ru-RU" w:val="ru-RU"/>
    </w:rPr>
  </w:style>
  <w:style w:customStyle="1" w:styleId="TitleChar" w:type="character">
    <w:name w:val="Title Char"/>
    <w:basedOn w:val="DefaultParagraphFont"/>
    <w:link w:val="Title"/>
    <w:uiPriority w:val="10"/>
    <w:rsid w:val="00A10FD9"/>
    <w:rPr>
      <w:rFonts/>
      <w:sz w:val="56"/>
      <w:szCs w:val="56"/>
    </w:rPr>
  </w:style>
  <w:style w:styleId="Subtitle" w:type="paragraph">
    <w:name w:val="Subtitle"/>
    <w:basedOn w:val="Title"/>
    <w:next w:val="BodyText"/>
    <w:link w:val="SubtitleChar"/>
    <w:uiPriority w:val="11"/>
    <w:qFormat/>
    <w:rsid w:val="00A10FD9"/>
    <w:pPr>
      <w:numPr>
        <w:ilvl w:val="1"/>
      </w:numPr>
      <w:spacing w:after="40"/>
      <w:jc w:val="center"/>
    </w:pPr>
    <w:rPr>
      <w:rFonts w:ascii="Arial" w:cs="Arial" w:eastAsia="Arial" w:hAnsi="Arial"/>
      <w:b w:val="0"/>
      <w:color w:val="12233B"/>
      <w:spacing w:val="15"/>
      <w:sz w:val="28"/>
      <w:szCs w:val="28"/>
      <w:lang w:bidi="ar-SA" w:eastAsia="ru-RU" w:val="ru-RU"/>
    </w:rPr>
  </w:style>
  <w:style w:customStyle="1" w:styleId="SubtitleChar" w:type="character">
    <w:name w:val="Subtitle Char"/>
    <w:basedOn w:val="DefaultParagraphFont"/>
    <w:link w:val="Subtitle"/>
    <w:uiPriority w:val="11"/>
    <w:rsid w:val="00A10FD9"/>
    <w:rPr>
      <w:rFonts/>
      <w:color w:themeColor="text1" w:themeTint="A6" w:val="595959"/>
      <w:spacing w:val="15"/>
      <w:sz w:val="28"/>
      <w:szCs w:val="28"/>
    </w:rPr>
  </w:style>
  <w:style w:customStyle="1" w:styleId="Author" w:type="paragraph">
    <w:name w:val="Author"/>
    <w:basedOn w:val="Title"/>
    <w:next w:val="BodyText"/>
    <w:qFormat/>
    <w:pPr>
      <w:keepNext/>
      <w:keepLines/>
      <w:jc w:val="center"/>
    </w:pPr>
    <w:rPr>
      <w:rFonts w:ascii="Arial" w:cs="Arial" w:eastAsia="Arial" w:hAnsi="Arial"/>
      <w:sz w:val="24"/>
      <w:szCs w:val="24"/>
      <w:lang w:bidi="ar-SA" w:eastAsia="ru-RU" w:val="ru-RU"/>
    </w:rPr>
  </w:style>
  <w:style w:styleId="Date" w:type="paragraph">
    <w:name w:val="Date"/>
    <w:basedOn w:val="Title"/>
    <w:next w:val="BodyText"/>
    <w:qFormat/>
    <w:pPr>
      <w:keepNext/>
      <w:keepLines/>
      <w:spacing w:after="480"/>
      <w:jc w:val="center"/>
    </w:pPr>
    <w:rPr>
      <w:rFonts w:ascii="Arial" w:cs="Arial" w:eastAsia="Arial" w:hAnsi="Arial"/>
      <w:b w:val="0"/>
      <w:color w:val="404040"/>
      <w:sz w:val="24"/>
      <w:szCs w:val="24"/>
      <w:lang w:bidi="ar-SA" w:eastAsia="ru-RU" w:val="ru-RU"/>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20" w:before="240" w:line="276" w:lineRule="auto"/>
      <w:outlineLvl w:val="0"/>
    </w:pPr>
    <w:rPr>
      <w:rFonts w:ascii="Arial" w:cs="Arial" w:eastAsia="Arial" w:hAnsi="Arial"/>
      <w:b/>
      <w:color w:val="12233B"/>
      <w:sz w:val="32"/>
      <w:szCs w:val="40"/>
      <w:lang w:bidi="ar-SA" w:eastAsia="ru-RU" w:val="ru-RU"/>
    </w:rPr>
  </w:style>
  <w:style w:styleId="Heading2" w:type="paragraph">
    <w:name w:val="heading 2"/>
    <w:basedOn w:val="Normal"/>
    <w:next w:val="BodyText"/>
    <w:link w:val="Heading2Char"/>
    <w:uiPriority w:val="9"/>
    <w:semiHidden/>
    <w:unhideWhenUsed/>
    <w:qFormat/>
    <w:rsid w:val="00A10FD9"/>
    <w:pPr>
      <w:keepNext/>
      <w:keepLines/>
      <w:spacing w:after="120" w:before="240" w:line="276" w:lineRule="auto"/>
      <w:outlineLvl w:val="1"/>
    </w:pPr>
    <w:rPr>
      <w:rFonts w:ascii="Arial" w:cs="Arial" w:eastAsia="Arial" w:hAnsi="Arial"/>
      <w:b/>
      <w:color w:val="12233B"/>
      <w:sz w:val="28"/>
      <w:szCs w:val="32"/>
      <w:lang w:bidi="ar-SA" w:eastAsia="ru-RU" w:val="ru-RU"/>
    </w:rPr>
  </w:style>
  <w:style w:styleId="Heading3" w:type="paragraph">
    <w:name w:val="heading 3"/>
    <w:basedOn w:val="Normal"/>
    <w:next w:val="BodyText"/>
    <w:link w:val="Heading3Char"/>
    <w:uiPriority w:val="9"/>
    <w:semiHidden/>
    <w:unhideWhenUsed/>
    <w:qFormat/>
    <w:rsid w:val="00A10FD9"/>
    <w:pPr>
      <w:keepNext/>
      <w:keepLines/>
      <w:spacing w:after="120" w:before="240" w:line="276" w:lineRule="auto"/>
      <w:outlineLvl w:val="2"/>
    </w:pPr>
    <w:rPr>
      <w:rFonts w:ascii="Arial" w:cs="Arial" w:eastAsia="Arial" w:hAnsi="Arial"/>
      <w:b/>
      <w:color w:val="12233B"/>
      <w:sz w:val="24"/>
      <w:szCs w:val="28"/>
      <w:lang w:bidi="ar-SA" w:eastAsia="ru-RU" w:val="ru-RU"/>
    </w:rPr>
  </w:style>
  <w:style w:styleId="Heading4" w:type="paragraph">
    <w:name w:val="heading 4"/>
    <w:basedOn w:val="Normal"/>
    <w:next w:val="BodyText"/>
    <w:link w:val="Heading4Char"/>
    <w:uiPriority w:val="9"/>
    <w:semiHidden/>
    <w:unhideWhenUsed/>
    <w:qFormat/>
    <w:rsid w:val="00A10FD9"/>
    <w:pPr>
      <w:keepNext/>
      <w:keepLines/>
      <w:spacing w:after="120" w:before="200" w:line="276" w:lineRule="auto"/>
      <w:outlineLvl w:val="3"/>
    </w:pPr>
    <w:rPr>
      <w:rFonts w:ascii="Arial" w:cs="Arial" w:eastAsia="Arial" w:hAnsi="Arial"/>
      <w:b/>
      <w:i/>
      <w:iCs/>
      <w:color w:val="12233B"/>
      <w:sz w:val="24"/>
      <w:lang w:bidi="ar-SA" w:eastAsia="ru-RU" w:val="ru-RU"/>
    </w:rPr>
  </w:style>
  <w:style w:styleId="Heading5" w:type="paragraph">
    <w:name w:val="heading 5"/>
    <w:basedOn w:val="Normal"/>
    <w:next w:val="BodyText"/>
    <w:link w:val="Heading5Char"/>
    <w:uiPriority w:val="9"/>
    <w:semiHidden/>
    <w:unhideWhenUsed/>
    <w:qFormat/>
    <w:rsid w:val="00A10FD9"/>
    <w:pPr>
      <w:keepNext/>
      <w:keepLines/>
      <w:spacing w:after="120" w:before="200" w:line="276" w:lineRule="auto"/>
      <w:outlineLvl w:val="4"/>
    </w:pPr>
    <w:rPr>
      <w:rFonts w:ascii="Arial" w:cs="Arial" w:eastAsia="Arial" w:hAnsi="Arial"/>
      <w:b/>
      <w:color w:val="12233B"/>
      <w:sz w:val="22"/>
      <w:lang w:bidi="ar-SA" w:eastAsia="ru-RU" w:val="ru-RU"/>
    </w:rPr>
  </w:style>
  <w:style w:styleId="Heading6" w:type="paragraph">
    <w:name w:val="heading 6"/>
    <w:basedOn w:val="Normal"/>
    <w:next w:val="BodyText"/>
    <w:link w:val="Heading6Char"/>
    <w:uiPriority w:val="9"/>
    <w:semiHidden/>
    <w:unhideWhenUsed/>
    <w:qFormat/>
    <w:rsid w:val="00A10FD9"/>
    <w:pPr>
      <w:keepNext/>
      <w:keepLines/>
      <w:spacing w:after="120" w:before="200" w:line="276" w:lineRule="auto"/>
      <w:outlineLvl w:val="5"/>
    </w:pPr>
    <w:rPr>
      <w:rFonts w:ascii="Arial" w:cs="Arial" w:eastAsia="Arial" w:hAnsi="Arial"/>
      <w:b/>
      <w:i/>
      <w:iCs/>
      <w:color w:val="12233B"/>
      <w:sz w:val="22"/>
      <w:lang w:bidi="ar-SA" w:eastAsia="ru-RU" w:val="ru-RU"/>
    </w:rPr>
  </w:style>
  <w:style w:styleId="Heading7" w:type="paragraph">
    <w:name w:val="heading 7"/>
    <w:basedOn w:val="Normal"/>
    <w:next w:val="BodyText"/>
    <w:link w:val="Heading7Char"/>
    <w:uiPriority w:val="9"/>
    <w:semiHidden/>
    <w:unhideWhenUsed/>
    <w:qFormat/>
    <w:rsid w:val="00A10FD9"/>
    <w:pPr>
      <w:keepNext/>
      <w:keepLines/>
      <w:spacing w:after="120" w:before="200" w:line="276" w:lineRule="auto"/>
      <w:outlineLvl w:val="6"/>
    </w:pPr>
    <w:rPr>
      <w:rFonts w:ascii="Arial" w:cs="Arial" w:eastAsia="Arial" w:hAnsi="Arial"/>
      <w:b/>
      <w:color w:val="12233B"/>
      <w:sz w:val="22"/>
      <w:lang w:bidi="ar-SA" w:eastAsia="ru-RU" w:val="ru-RU"/>
    </w:rPr>
  </w:style>
  <w:style w:styleId="Heading8" w:type="paragraph">
    <w:name w:val="heading 8"/>
    <w:basedOn w:val="Normal"/>
    <w:next w:val="BodyText"/>
    <w:link w:val="Heading8Char"/>
    <w:uiPriority w:val="9"/>
    <w:semiHidden/>
    <w:unhideWhenUsed/>
    <w:qFormat/>
    <w:rsid w:val="00A10FD9"/>
    <w:pPr>
      <w:keepNext/>
      <w:keepLines/>
      <w:spacing w:after="120" w:before="200" w:line="276" w:lineRule="auto"/>
      <w:outlineLvl w:val="7"/>
    </w:pPr>
    <w:rPr>
      <w:rFonts w:ascii="Arial" w:cs="Arial" w:eastAsia="Arial" w:hAnsi="Arial"/>
      <w:b/>
      <w:i/>
      <w:iCs/>
      <w:color w:val="12233B"/>
      <w:sz w:val="22"/>
      <w:lang w:bidi="ar-SA" w:eastAsia="ru-RU" w:val="ru-RU"/>
    </w:rPr>
  </w:style>
  <w:style w:styleId="Heading9" w:type="paragraph">
    <w:name w:val="heading 9"/>
    <w:basedOn w:val="Normal"/>
    <w:next w:val="BodyText"/>
    <w:link w:val="Heading9Char"/>
    <w:uiPriority w:val="9"/>
    <w:semiHidden/>
    <w:unhideWhenUsed/>
    <w:qFormat/>
    <w:rsid w:val="00A10FD9"/>
    <w:pPr>
      <w:keepNext/>
      <w:keepLines/>
      <w:spacing w:after="120" w:before="200" w:line="276" w:lineRule="auto"/>
      <w:outlineLvl w:val="8"/>
    </w:pPr>
    <w:rPr>
      <w:rFonts w:ascii="Arial" w:cs="Arial" w:eastAsia="Arial" w:hAnsi="Arial"/>
      <w:b/>
      <w:color w:val="12233B"/>
      <w:sz w:val="22"/>
      <w:lang w:bidi="ar-SA" w:eastAsia="ru-RU" w:val="ru-RU"/>
    </w:rPr>
  </w:style>
  <w:style w:customStyle="1" w:styleId="Heading1Char" w:type="character">
    <w:name w:val="Heading 1 Char"/>
    <w:basedOn w:val="DefaultParagraphFont"/>
    <w:link w:val="Heading1"/>
    <w:uiPriority w:val="9"/>
    <w:rsid w:val="00A10FD9"/>
    <w:rPr>
      <w:rFont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i/>
      <w:iCs/>
      <w:color w:themeColor="accent1" w:themeShade="BF" w:val="0F4761"/>
    </w:rPr>
  </w:style>
  <w:style w:customStyle="1" w:styleId="Heading5Char" w:type="character">
    <w:name w:val="Heading 5 Char"/>
    <w:basedOn w:val="DefaultParagraphFont"/>
    <w:link w:val="Heading5"/>
    <w:uiPriority w:val="9"/>
    <w:semiHidden/>
    <w:rsid w:val="00A10FD9"/>
    <w:rPr>
      <w:rFonts/>
      <w:color w:themeColor="accent1" w:themeShade="BF" w:val="0F4761"/>
    </w:rPr>
  </w:style>
  <w:style w:customStyle="1" w:styleId="Heading6Char" w:type="character">
    <w:name w:val="Heading 6 Char"/>
    <w:basedOn w:val="DefaultParagraphFont"/>
    <w:link w:val="Heading6"/>
    <w:uiPriority w:val="9"/>
    <w:semiHidden/>
    <w:rsid w:val="00A10FD9"/>
    <w:rPr>
      <w:rFonts/>
      <w:i/>
      <w:iCs/>
      <w:color w:themeColor="text1" w:themeTint="A6" w:val="595959"/>
    </w:rPr>
  </w:style>
  <w:style w:customStyle="1" w:styleId="Heading7Char" w:type="character">
    <w:name w:val="Heading 7 Char"/>
    <w:basedOn w:val="DefaultParagraphFont"/>
    <w:link w:val="Heading7"/>
    <w:uiPriority w:val="9"/>
    <w:semiHidden/>
    <w:rsid w:val="00A10FD9"/>
    <w:rPr>
      <w:rFonts/>
      <w:color w:themeColor="text1" w:themeTint="A6" w:val="595959"/>
    </w:rPr>
  </w:style>
  <w:style w:customStyle="1" w:styleId="Heading8Char" w:type="character">
    <w:name w:val="Heading 8 Char"/>
    <w:basedOn w:val="DefaultParagraphFont"/>
    <w:link w:val="Heading8"/>
    <w:uiPriority w:val="9"/>
    <w:semiHidden/>
    <w:rsid w:val="00A10FD9"/>
    <w:rPr>
      <w:rFonts/>
      <w:i/>
      <w:iCs/>
      <w:color w:themeColor="text1" w:themeTint="D8" w:val="272727"/>
    </w:rPr>
  </w:style>
  <w:style w:customStyle="1" w:styleId="Heading9Char" w:type="character">
    <w:name w:val="Heading 9 Char"/>
    <w:basedOn w:val="DefaultParagraphFont"/>
    <w:link w:val="Heading9"/>
    <w:uiPriority w:val="9"/>
    <w:semiHidden/>
    <w:rsid w:val="00A10FD9"/>
    <w:rPr>
      <w:rFonts/>
      <w:color w:themeColor="text1" w:themeTint="D8" w:val="272727"/>
    </w:rPr>
  </w:style>
  <w:style w:styleId="BlockText" w:type="paragraph">
    <w:name w:val="Block Text"/>
    <w:basedOn w:val="BodyText"/>
    <w:next w:val="BodyText"/>
    <w:uiPriority w:val="9"/>
    <w:unhideWhenUsed/>
    <w:qFormat/>
    <w:pPr>
      <w:spacing w:after="120" w:before="100" w:line="276" w:lineRule="auto"/>
      <w:ind w:firstLine="0" w:left="480" w:right="480"/>
    </w:pPr>
    <w:rPr>
      <w:rFonts w:ascii="Arial" w:cs="Arial" w:eastAsia="Arial" w:hAnsi="Arial"/>
      <w:sz w:val="22"/>
      <w:lang w:bidi="ar-SA" w:eastAsia="ru-RU" w:val="ru-RU"/>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pPr>
      <w:spacing w:after="60" w:line="276" w:lineRule="auto"/>
    </w:pPr>
    <w:rPr>
      <w:rFonts w:ascii="Arial" w:cs="Arial" w:eastAsia="Arial" w:hAnsi="Arial"/>
      <w:sz w:val="22"/>
      <w:lang w:bidi="ar-SA" w:eastAsia="ru-RU" w:val="ru-RU"/>
    </w:rPr>
    <w:tblPr>
      <w:tblInd w:type="dxa" w:w="0"/>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120" w:line="276" w:lineRule="auto"/>
    </w:pPr>
    <w:rPr>
      <w:rFonts w:ascii="Arial" w:cs="Arial" w:eastAsia="Arial" w:hAnsi="Arial"/>
      <w:b/>
      <w:sz w:val="22"/>
      <w:lang w:bidi="ar-SA" w:eastAsia="ru-RU" w:val="ru-RU"/>
    </w:rPr>
  </w:style>
  <w:style w:customStyle="1" w:styleId="Definition" w:type="paragraph">
    <w:name w:val="Definition"/>
    <w:basedOn w:val="Normal"/>
    <w:pPr>
      <w:spacing w:after="120" w:line="276" w:lineRule="auto"/>
    </w:pPr>
    <w:rPr>
      <w:rFonts w:ascii="Arial" w:cs="Arial" w:eastAsia="Arial" w:hAnsi="Arial"/>
      <w:sz w:val="22"/>
      <w:lang w:bidi="ar-SA" w:eastAsia="ru-RU" w:val="ru-RU"/>
    </w:rPr>
  </w:style>
  <w:style w:styleId="Caption" w:type="paragraph">
    <w:name w:val="Caption"/>
    <w:basedOn w:val="Normal"/>
    <w:link w:val="BodyTextChar"/>
    <w:pPr>
      <w:spacing w:after="120" w:before="0" w:line="276" w:lineRule="auto"/>
    </w:pPr>
    <w:rPr>
      <w:rFonts w:ascii="Arial" w:cs="Arial" w:eastAsia="Arial" w:hAnsi="Arial"/>
      <w:i/>
      <w:sz w:val="22"/>
      <w:lang w:bidi="ar-SA" w:eastAsia="ru-RU" w:val="ru-RU"/>
    </w:rPr>
  </w:style>
  <w:style w:customStyle="1" w:styleId="TableCaption" w:type="paragraph">
    <w:name w:val="Table Caption"/>
    <w:basedOn w:val="Caption"/>
    <w:pPr>
      <w:keepNext/>
      <w:spacing w:after="120" w:line="276" w:lineRule="auto"/>
    </w:pPr>
    <w:rPr>
      <w:rFonts w:ascii="Arial" w:cs="Arial" w:eastAsia="Arial" w:hAnsi="Arial"/>
      <w:sz w:val="22"/>
      <w:lang w:bidi="ar-SA" w:eastAsia="ru-RU" w:val="ru-RU"/>
    </w:rPr>
  </w:style>
  <w:style w:customStyle="1" w:styleId="ImageCaption" w:type="paragraph">
    <w:name w:val="Image Caption"/>
    <w:basedOn w:val="Caption"/>
    <w:pPr>
      <w:spacing w:after="120" w:line="276" w:lineRule="auto"/>
    </w:pPr>
    <w:rPr>
      <w:rFonts w:ascii="Arial" w:cs="Arial" w:eastAsia="Arial" w:hAnsi="Arial"/>
      <w:sz w:val="22"/>
      <w:lang w:bidi="ar-SA" w:eastAsia="ru-RU" w:val="ru-RU"/>
    </w:rPr>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Arial" w:cs="Arial" w:eastAsia="Arial" w:hAnsi="Arial"/>
      <w:color w:val="004A8F"/>
      <w:sz w:val="22"/>
      <w:lang w:bidi="ar-SA" w:eastAsia="ru-RU" w:val="ru-RU"/>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bCs w:val="0"/>
      <w:color w:val="12233B"/>
      <w:sz w:val="28"/>
      <w:lang w:bidi="ar-SA" w:eastAsia="ru-RU" w:val="ru-RU"/>
    </w:rPr>
  </w:style>
  <w:style w:customStyle="1" w:styleId="TOC1" w:type="paragraph">
    <w:name w:val="TOC 1"/>
    <w:basedOn w:val="Normal"/>
    <w:pPr>
      <w:tabs>
        <w:tab w:leader="dot" w:pos="9638" w:val="right"/>
      </w:tabs>
      <w:spacing w:after="40" w:before="0" w:line="276" w:lineRule="auto"/>
      <w:ind w:left="0"/>
    </w:pPr>
    <w:rPr>
      <w:rFonts w:ascii="Arial" w:cs="Arial" w:eastAsia="Arial" w:hAnsi="Arial"/>
      <w:b/>
      <w:sz w:val="22"/>
      <w:lang w:bidi="ar-SA" w:eastAsia="ru-RU" w:val="ru-RU"/>
    </w:rPr>
  </w:style>
  <w:style w:customStyle="1" w:styleId="TOC2" w:type="paragraph">
    <w:name w:val="TOC 2"/>
    <w:basedOn w:val="Normal"/>
    <w:pPr>
      <w:tabs>
        <w:tab w:leader="dot" w:pos="9638" w:val="right"/>
      </w:tabs>
      <w:spacing w:after="40" w:before="0" w:line="276" w:lineRule="auto"/>
      <w:ind w:left="283"/>
    </w:pPr>
    <w:rPr>
      <w:rFonts w:ascii="Arial" w:cs="Arial" w:eastAsia="Arial" w:hAnsi="Arial"/>
      <w:b w:val="0"/>
      <w:sz w:val="22"/>
      <w:lang w:bidi="ar-SA" w:eastAsia="ru-RU" w:val="ru-RU"/>
    </w:rPr>
  </w:style>
  <w:style w:customStyle="1" w:styleId="TOC3" w:type="paragraph">
    <w:name w:val="TOC 3"/>
    <w:basedOn w:val="Normal"/>
    <w:pPr>
      <w:tabs>
        <w:tab w:leader="dot" w:pos="9638" w:val="right"/>
      </w:tabs>
      <w:spacing w:after="40" w:before="0" w:line="276" w:lineRule="auto"/>
      <w:ind w:left="567"/>
    </w:pPr>
    <w:rPr>
      <w:rFonts w:ascii="Arial" w:cs="Arial" w:eastAsia="Arial" w:hAnsi="Arial"/>
      <w:b w:val="0"/>
      <w:sz w:val="22"/>
      <w:lang w:bidi="ar-SA" w:eastAsia="ru-RU" w:val="ru-RU"/>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7" Type="http://schemas.openxmlformats.org/officeDocument/2006/relationships/numbering" Target="numbering.xml"/><Relationship Id="rId16" Type="http://schemas.openxmlformats.org/officeDocument/2006/relationships/styles" Target="styles.xml"/><Relationship Id="rId15" Type="http://schemas.openxmlformats.org/officeDocument/2006/relationships/settings" Target="settings.xml"/><Relationship Id="rId14" Type="http://schemas.openxmlformats.org/officeDocument/2006/relationships/webSettings" Target="web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notes" Target="footnotes.xml"/><Relationship Id="rId10" Type="http://schemas.openxmlformats.org/officeDocument/2006/relationships/comments" Target="comments.xml"/><Relationship Id="rId9" Type="http://schemas.openxmlformats.org/officeDocument/2006/relationships/footer" Target="footer1.xml"/><Relationship Id="rId21" Type="http://schemas.openxmlformats.org/officeDocument/2006/relationships/hyperlink" Target="https://www.etsi.org/deliver/etsi_en/301500_301599/301549/04.01.01_60/en_301549v040101p.pdf" TargetMode="External"/><Relationship Id="rId63" Type="http://schemas.openxmlformats.org/officeDocument/2006/relationships/hyperlink" Target="https://www.w3.org/TR/WCAG22/#accessible-authentication-minimum" TargetMode="External"/><Relationship Id="rId78" Type="http://schemas.openxmlformats.org/officeDocument/2006/relationships/hyperlink" Target="https://www.w3.org/TR/WCAG22/#audio-description-or-media-alternative-prerecorded" TargetMode="External"/><Relationship Id="rId80" Type="http://schemas.openxmlformats.org/officeDocument/2006/relationships/hyperlink" Target="https://www.w3.org/TR/WCAG22/#audio-description-prerecorded" TargetMode="External"/><Relationship Id="rId76" Type="http://schemas.openxmlformats.org/officeDocument/2006/relationships/hyperlink" Target="https://www.w3.org/TR/WCAG22/#audio-only-and-video-only-prerecorded" TargetMode="External"/><Relationship Id="rId79" Type="http://schemas.openxmlformats.org/officeDocument/2006/relationships/hyperlink" Target="https://www.w3.org/TR/WCAG22/#captions-live" TargetMode="External"/><Relationship Id="rId77" Type="http://schemas.openxmlformats.org/officeDocument/2006/relationships/hyperlink" Target="https://www.w3.org/TR/WCAG22/#captions-prerecorded" TargetMode="External"/><Relationship Id="rId67" Type="http://schemas.openxmlformats.org/officeDocument/2006/relationships/hyperlink" Target="https://www.w3.org/TR/WCAG22/#character-key-shortcuts" TargetMode="External"/><Relationship Id="rId44" Type="http://schemas.openxmlformats.org/officeDocument/2006/relationships/hyperlink" Target="https://www.w3.org/TR/WCAG22/#contrast-minimum" TargetMode="External"/><Relationship Id="rId31" Type="http://schemas.openxmlformats.org/officeDocument/2006/relationships/hyperlink" Target="https://www.w3.org/TR/WCAG22/#dragging-movements" TargetMode="External"/><Relationship Id="rId47" Type="http://schemas.openxmlformats.org/officeDocument/2006/relationships/hyperlink" Target="https://www.w3.org/TR/WCAG22/#error-identification" TargetMode="External"/><Relationship Id="rId82" Type="http://schemas.openxmlformats.org/officeDocument/2006/relationships/hyperlink" Target="https://www.w3.org/TR/WCAG22/#error-prevention-legal-financial-data" TargetMode="External"/><Relationship Id="rId52" Type="http://schemas.openxmlformats.org/officeDocument/2006/relationships/hyperlink" Target="https://www.w3.org/TR/WCAG22/#error-suggestion" TargetMode="External"/><Relationship Id="rId55" Type="http://schemas.openxmlformats.org/officeDocument/2006/relationships/hyperlink" Target="https://www.w3.org/TR/WCAG22/#focus-not-obscured-minimum" TargetMode="External"/><Relationship Id="rId25" Type="http://schemas.openxmlformats.org/officeDocument/2006/relationships/hyperlink" Target="https://www.w3.org/TR/WCAG22/#focus-order" TargetMode="External"/><Relationship Id="rId68" Type="http://schemas.openxmlformats.org/officeDocument/2006/relationships/hyperlink" Target="https://www.w3.org/TR/WCAG22/#focus-visible" TargetMode="External"/><Relationship Id="rId54" Type="http://schemas.openxmlformats.org/officeDocument/2006/relationships/hyperlink" Target="https://www.w3.org/TR/WCAG22/#identify-input-purpose" TargetMode="External"/><Relationship Id="rId65" Type="http://schemas.openxmlformats.org/officeDocument/2006/relationships/hyperlink" Target="https://www.w3.org/TR/WCAG22/#keyboard" TargetMode="External"/><Relationship Id="rId50" Type="http://schemas.openxmlformats.org/officeDocument/2006/relationships/hyperlink" Target="https://www.w3.org/TR/WCAG22/#label-in-name" TargetMode="External"/><Relationship Id="rId51" Type="http://schemas.openxmlformats.org/officeDocument/2006/relationships/hyperlink" Target="https://www.w3.org/TR/WCAG22/#labels-or-instructions" TargetMode="External"/><Relationship Id="rId24" Type="http://schemas.openxmlformats.org/officeDocument/2006/relationships/hyperlink" Target="https://www.w3.org/TR/WCAG22/#meaningful-sequence" TargetMode="External"/><Relationship Id="rId41" Type="http://schemas.openxmlformats.org/officeDocument/2006/relationships/hyperlink" Target="https://www.w3.org/TR/WCAG22/#motion-actuation" TargetMode="External"/><Relationship Id="rId22" Type="http://schemas.openxmlformats.org/officeDocument/2006/relationships/hyperlink" Target="https://www.w3.org/TR/WCAG22/#name-role-value" TargetMode="External"/><Relationship Id="rId66" Type="http://schemas.openxmlformats.org/officeDocument/2006/relationships/hyperlink" Target="https://www.w3.org/TR/WCAG22/#no-keyboard-trap" TargetMode="External"/><Relationship Id="rId45" Type="http://schemas.openxmlformats.org/officeDocument/2006/relationships/hyperlink" Target="https://www.w3.org/TR/WCAG22/#non-text-contrast" TargetMode="External"/><Relationship Id="rId72" Type="http://schemas.openxmlformats.org/officeDocument/2006/relationships/hyperlink" Target="https://www.w3.org/TR/WCAG22/#on-focus" TargetMode="External"/><Relationship Id="rId73" Type="http://schemas.openxmlformats.org/officeDocument/2006/relationships/hyperlink" Target="https://www.w3.org/TR/WCAG22/#on-input" TargetMode="External"/><Relationship Id="rId39" Type="http://schemas.openxmlformats.org/officeDocument/2006/relationships/hyperlink" Target="https://www.w3.org/TR/WCAG22/#orientation" TargetMode="External"/><Relationship Id="rId60" Type="http://schemas.openxmlformats.org/officeDocument/2006/relationships/hyperlink" Target="https://www.w3.org/TR/WCAG22/#pause-stop-hide" TargetMode="External"/><Relationship Id="rId29" Type="http://schemas.openxmlformats.org/officeDocument/2006/relationships/hyperlink" Target="https://www.w3.org/TR/WCAG22/#pointer-cancellation" TargetMode="External"/><Relationship Id="rId27" Type="http://schemas.openxmlformats.org/officeDocument/2006/relationships/hyperlink" Target="https://www.w3.org/TR/WCAG22/#pointer-gestures" TargetMode="External"/><Relationship Id="rId56" Type="http://schemas.openxmlformats.org/officeDocument/2006/relationships/hyperlink" Target="https://www.w3.org/TR/WCAG22/#redundant-entry" TargetMode="External"/><Relationship Id="rId37" Type="http://schemas.openxmlformats.org/officeDocument/2006/relationships/hyperlink" Target="https://www.w3.org/TR/WCAG22/#reflow" TargetMode="External"/><Relationship Id="rId36" Type="http://schemas.openxmlformats.org/officeDocument/2006/relationships/hyperlink" Target="https://www.w3.org/TR/WCAG22/#resize-text" TargetMode="External"/><Relationship Id="rId48" Type="http://schemas.openxmlformats.org/officeDocument/2006/relationships/hyperlink" Target="https://www.w3.org/TR/WCAG22/#status-messages" TargetMode="External"/><Relationship Id="rId33" Type="http://schemas.openxmlformats.org/officeDocument/2006/relationships/hyperlink" Target="https://www.w3.org/TR/WCAG22/#target-size-minimum" TargetMode="External"/><Relationship Id="rId61" Type="http://schemas.openxmlformats.org/officeDocument/2006/relationships/hyperlink" Target="https://www.w3.org/TR/WCAG22/#three-flashes-or-below-threshold" TargetMode="External"/><Relationship Id="rId59" Type="http://schemas.openxmlformats.org/officeDocument/2006/relationships/hyperlink" Target="https://www.w3.org/TR/WCAG22/#timing-adjustable" TargetMode="External"/><Relationship Id="rId43" Type="http://schemas.openxmlformats.org/officeDocument/2006/relationships/hyperlink" Target="https://www.w3.org/TR/WCAG22/#use-of-color" TargetMode="External"/><Relationship Id="rId19" Type="http://schemas.openxmlformats.org/officeDocument/2006/relationships/hyperlink" Target="https://www.w3.org/TR/wcag2ict/" TargetMode="External"/><Relationship Id="rId57" Type="http://schemas.openxmlformats.org/officeDocument/2006/relationships/hyperlink" Target="https://www.w3.org/TR/wcag2ict/#success-criterion-1-3-5-identify-input-purpose" TargetMode="External"/><Relationship Id="rId34" Type="http://schemas.openxmlformats.org/officeDocument/2006/relationships/hyperlink" Target="https://www.w3.org/TR/wcag2ict/#success-criterion-2-5-8-target-size-minimum" TargetMode="External"/><Relationship Id="rId18" Type="http://schemas.openxmlformats.org/officeDocument/2006/relationships/hyperlink" Target="metodika-ocenki.docx" TargetMode="External"/></Relationships>
</file>

<file path=word/_rels/footnotes.xml.rels><?xml version='1.0' encoding='UTF-8' standalone='yes'?>
<Relationships xmlns="http://schemas.openxmlformats.org/package/2006/relationships"><Relationship Id="rId21" Type="http://schemas.openxmlformats.org/officeDocument/2006/relationships/hyperlink" Target="https://www.etsi.org/deliver/etsi_en/301500_301599/301549/04.01.01_60/en_301549v040101p.pdf" TargetMode="External"/><Relationship Id="rId63" Type="http://schemas.openxmlformats.org/officeDocument/2006/relationships/hyperlink" Target="https://www.w3.org/TR/WCAG22/#accessible-authentication-minimum" TargetMode="External"/><Relationship Id="rId78" Type="http://schemas.openxmlformats.org/officeDocument/2006/relationships/hyperlink" Target="https://www.w3.org/TR/WCAG22/#audio-description-or-media-alternative-prerecorded" TargetMode="External"/><Relationship Id="rId80" Type="http://schemas.openxmlformats.org/officeDocument/2006/relationships/hyperlink" Target="https://www.w3.org/TR/WCAG22/#audio-description-prerecorded" TargetMode="External"/><Relationship Id="rId76" Type="http://schemas.openxmlformats.org/officeDocument/2006/relationships/hyperlink" Target="https://www.w3.org/TR/WCAG22/#audio-only-and-video-only-prerecorded" TargetMode="External"/><Relationship Id="rId79" Type="http://schemas.openxmlformats.org/officeDocument/2006/relationships/hyperlink" Target="https://www.w3.org/TR/WCAG22/#captions-live" TargetMode="External"/><Relationship Id="rId77" Type="http://schemas.openxmlformats.org/officeDocument/2006/relationships/hyperlink" Target="https://www.w3.org/TR/WCAG22/#captions-prerecorded" TargetMode="External"/><Relationship Id="rId67" Type="http://schemas.openxmlformats.org/officeDocument/2006/relationships/hyperlink" Target="https://www.w3.org/TR/WCAG22/#character-key-shortcuts" TargetMode="External"/><Relationship Id="rId44" Type="http://schemas.openxmlformats.org/officeDocument/2006/relationships/hyperlink" Target="https://www.w3.org/TR/WCAG22/#contrast-minimum" TargetMode="External"/><Relationship Id="rId31" Type="http://schemas.openxmlformats.org/officeDocument/2006/relationships/hyperlink" Target="https://www.w3.org/TR/WCAG22/#dragging-movements" TargetMode="External"/><Relationship Id="rId47" Type="http://schemas.openxmlformats.org/officeDocument/2006/relationships/hyperlink" Target="https://www.w3.org/TR/WCAG22/#error-identification" TargetMode="External"/><Relationship Id="rId82" Type="http://schemas.openxmlformats.org/officeDocument/2006/relationships/hyperlink" Target="https://www.w3.org/TR/WCAG22/#error-prevention-legal-financial-data" TargetMode="External"/><Relationship Id="rId52" Type="http://schemas.openxmlformats.org/officeDocument/2006/relationships/hyperlink" Target="https://www.w3.org/TR/WCAG22/#error-suggestion" TargetMode="External"/><Relationship Id="rId55" Type="http://schemas.openxmlformats.org/officeDocument/2006/relationships/hyperlink" Target="https://www.w3.org/TR/WCAG22/#focus-not-obscured-minimum" TargetMode="External"/><Relationship Id="rId25" Type="http://schemas.openxmlformats.org/officeDocument/2006/relationships/hyperlink" Target="https://www.w3.org/TR/WCAG22/#focus-order" TargetMode="External"/><Relationship Id="rId68" Type="http://schemas.openxmlformats.org/officeDocument/2006/relationships/hyperlink" Target="https://www.w3.org/TR/WCAG22/#focus-visible" TargetMode="External"/><Relationship Id="rId54" Type="http://schemas.openxmlformats.org/officeDocument/2006/relationships/hyperlink" Target="https://www.w3.org/TR/WCAG22/#identify-input-purpose" TargetMode="External"/><Relationship Id="rId65" Type="http://schemas.openxmlformats.org/officeDocument/2006/relationships/hyperlink" Target="https://www.w3.org/TR/WCAG22/#keyboard" TargetMode="External"/><Relationship Id="rId50" Type="http://schemas.openxmlformats.org/officeDocument/2006/relationships/hyperlink" Target="https://www.w3.org/TR/WCAG22/#label-in-name" TargetMode="External"/><Relationship Id="rId51" Type="http://schemas.openxmlformats.org/officeDocument/2006/relationships/hyperlink" Target="https://www.w3.org/TR/WCAG22/#labels-or-instructions" TargetMode="External"/><Relationship Id="rId24" Type="http://schemas.openxmlformats.org/officeDocument/2006/relationships/hyperlink" Target="https://www.w3.org/TR/WCAG22/#meaningful-sequence" TargetMode="External"/><Relationship Id="rId41" Type="http://schemas.openxmlformats.org/officeDocument/2006/relationships/hyperlink" Target="https://www.w3.org/TR/WCAG22/#motion-actuation" TargetMode="External"/><Relationship Id="rId22" Type="http://schemas.openxmlformats.org/officeDocument/2006/relationships/hyperlink" Target="https://www.w3.org/TR/WCAG22/#name-role-value" TargetMode="External"/><Relationship Id="rId66" Type="http://schemas.openxmlformats.org/officeDocument/2006/relationships/hyperlink" Target="https://www.w3.org/TR/WCAG22/#no-keyboard-trap" TargetMode="External"/><Relationship Id="rId45" Type="http://schemas.openxmlformats.org/officeDocument/2006/relationships/hyperlink" Target="https://www.w3.org/TR/WCAG22/#non-text-contrast" TargetMode="External"/><Relationship Id="rId72" Type="http://schemas.openxmlformats.org/officeDocument/2006/relationships/hyperlink" Target="https://www.w3.org/TR/WCAG22/#on-focus" TargetMode="External"/><Relationship Id="rId73" Type="http://schemas.openxmlformats.org/officeDocument/2006/relationships/hyperlink" Target="https://www.w3.org/TR/WCAG22/#on-input" TargetMode="External"/><Relationship Id="rId39" Type="http://schemas.openxmlformats.org/officeDocument/2006/relationships/hyperlink" Target="https://www.w3.org/TR/WCAG22/#orientation" TargetMode="External"/><Relationship Id="rId60" Type="http://schemas.openxmlformats.org/officeDocument/2006/relationships/hyperlink" Target="https://www.w3.org/TR/WCAG22/#pause-stop-hide" TargetMode="External"/><Relationship Id="rId29" Type="http://schemas.openxmlformats.org/officeDocument/2006/relationships/hyperlink" Target="https://www.w3.org/TR/WCAG22/#pointer-cancellation" TargetMode="External"/><Relationship Id="rId27" Type="http://schemas.openxmlformats.org/officeDocument/2006/relationships/hyperlink" Target="https://www.w3.org/TR/WCAG22/#pointer-gestures" TargetMode="External"/><Relationship Id="rId56" Type="http://schemas.openxmlformats.org/officeDocument/2006/relationships/hyperlink" Target="https://www.w3.org/TR/WCAG22/#redundant-entry" TargetMode="External"/><Relationship Id="rId37" Type="http://schemas.openxmlformats.org/officeDocument/2006/relationships/hyperlink" Target="https://www.w3.org/TR/WCAG22/#reflow" TargetMode="External"/><Relationship Id="rId36" Type="http://schemas.openxmlformats.org/officeDocument/2006/relationships/hyperlink" Target="https://www.w3.org/TR/WCAG22/#resize-text" TargetMode="External"/><Relationship Id="rId48" Type="http://schemas.openxmlformats.org/officeDocument/2006/relationships/hyperlink" Target="https://www.w3.org/TR/WCAG22/#status-messages" TargetMode="External"/><Relationship Id="rId33" Type="http://schemas.openxmlformats.org/officeDocument/2006/relationships/hyperlink" Target="https://www.w3.org/TR/WCAG22/#target-size-minimum" TargetMode="External"/><Relationship Id="rId61" Type="http://schemas.openxmlformats.org/officeDocument/2006/relationships/hyperlink" Target="https://www.w3.org/TR/WCAG22/#three-flashes-or-below-threshold" TargetMode="External"/><Relationship Id="rId59" Type="http://schemas.openxmlformats.org/officeDocument/2006/relationships/hyperlink" Target="https://www.w3.org/TR/WCAG22/#timing-adjustable" TargetMode="External"/><Relationship Id="rId43" Type="http://schemas.openxmlformats.org/officeDocument/2006/relationships/hyperlink" Target="https://www.w3.org/TR/WCAG22/#use-of-color" TargetMode="External"/><Relationship Id="rId19" Type="http://schemas.openxmlformats.org/officeDocument/2006/relationships/hyperlink" Target="https://www.w3.org/TR/wcag2ict/" TargetMode="External"/><Relationship Id="rId57" Type="http://schemas.openxmlformats.org/officeDocument/2006/relationships/hyperlink" Target="https://www.w3.org/TR/wcag2ict/#success-criterion-1-3-5-identify-input-purpose" TargetMode="External"/><Relationship Id="rId34" Type="http://schemas.openxmlformats.org/officeDocument/2006/relationships/hyperlink" Target="https://www.w3.org/TR/wcag2ict/#success-criterion-2-5-8-target-size-minimum" TargetMode="External"/><Relationship Id="rId18" Type="http://schemas.openxmlformats.org/officeDocument/2006/relationships/hyperlink" Target="&#1052;&#1077;&#1090;&#1086;&#1076;&#1086;&#1083;&#1086;&#1075;&#1080;&#1103;_&#1086;&#1094;&#1077;&#1085;&#1082;&#1080;_&#1076;&#1086;&#1089;&#1090;&#1091;&#1087;&#1085;&#1086;&#1089;&#1090;&#1080;_&#1094;&#1080;&#1092;&#1088;&#1086;&#1074;&#1099;&#1093;_&#1088;&#1077;&#1089;&#1091;&#1088;&#1089;&#1086;&#107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0.1</AppVersion>
  <LinksUpToDate>false</LinksUpToDate>
  <Application>Проект «Доступно»</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Протоколы проверок мобильных приложений</dc:title>
  <dc:creator/>
  <dc:language>ru-RU</dc:language>
  <cp:keywords/>
  <dcterms:created xsi:type="dcterms:W3CDTF">2026-09-24T10:52:49Z</dcterms:created>
  <dcterms:modified xsi:type="dcterms:W3CDTF">2026-09-24T10:52:49Z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Сентябрь 2026 года</vt:lpwstr>
  </property>
  <property fmtid="{D5CDD505-2E9C-101B-9397-08002B2CF9AE}" pid="3" name="subtitle">
    <vt:lpwstr>Проект для обсуждения. Редакция 0.1</vt:lpwstr>
  </property>
</Properties>
</file>