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понятности и когнитивной доступности</w:t>
      </w:r>
    </w:p>
    <w:p>
      <w:pPr>
        <w:pStyle w:val="Subtitle"/>
      </w:pPr>
      <w:r>
        <w:t xml:space="preserve">Проект для обсуждения. Редакция 0.3</w:t>
      </w:r>
    </w:p>
    <w:p>
      <w:pPr>
        <w:pStyle w:val="Date"/>
      </w:pPr>
      <w:r>
        <w:t xml:space="preserve">Сентябрь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"1-2"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4_1829" w:history="1">
            <w:r>
              <w:t xml:space="preserve">1. Назначение и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29_1831" w:history="1">
            <w:r>
              <w:t xml:space="preserve">2. Подготовка исследования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34_1833" w:history="1">
            <w:r>
              <w:t xml:space="preserve">3. Согласие, помощь и остановка</w:t>
            </w:r>
          </w:hyperlink>
          <w:r>
            <w:tab/>
            <w:t>4</w:t>
          </w:r>
        </w:p>
        <w:p>
          <w:pPr>
            <w:pStyle w:val="TOC2"/>
            <w:tabs>
              <w:tab w:val="right" w:leader="dot" w:pos="9638"/>
            </w:tabs>
          </w:pPr>
          <w:hyperlink w:anchor="_TocAnchor45_1835" w:history="1">
            <w:r>
              <w:t xml:space="preserve">4. Проверки К01–К12</w:t>
            </w:r>
          </w:hyperlink>
          <w:r>
            <w:tab/>
            <w:t>5</w:t>
          </w:r>
        </w:p>
        <w:p>
          <w:pPr>
            <w:pStyle w:val="TOC2"/>
            <w:tabs>
              <w:tab w:val="right" w:leader="dot" w:pos="9638"/>
            </w:tabs>
          </w:pPr>
          <w:hyperlink w:anchor="_TocAnchor49_1837" w:history="1">
            <w:r>
              <w:t xml:space="preserve">5. Карточка наблюдения</w:t>
            </w:r>
          </w:hyperlink>
          <w:r>
            <w:tab/>
            <w:t>7</w:t>
          </w:r>
        </w:p>
        <w:p>
          <w:pPr>
            <w:pStyle w:val="TOC2"/>
            <w:tabs>
              <w:tab w:val="right" w:leader="dot" w:pos="9638"/>
            </w:tabs>
          </w:pPr>
          <w:hyperlink w:anchor="_TocAnchor52_1839" w:history="1">
            <w:r>
              <w:t xml:space="preserve">6. Правила решения</w:t>
            </w:r>
          </w:hyperlink>
          <w:r>
            <w:tab/>
            <w:t>7</w:t>
          </w:r>
        </w:p>
        <w:p>
          <w:pPr>
            <w:pStyle w:val="TOC2"/>
            <w:tabs>
              <w:tab w:val="right" w:leader="dot" w:pos="9638"/>
            </w:tabs>
          </w:pPr>
          <w:hyperlink w:anchor="_TocAnchor59_1841" w:history="1">
            <w:r>
              <w:t xml:space="preserve">7. Хранение и передача результатов</w:t>
            </w:r>
          </w:hyperlink>
          <w:r>
            <w:tab/>
            <w:t>8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Версия:</w:t>
      </w:r>
      <w:r>
        <w:t xml:space="preserve"> </w:t>
      </w:r>
      <w:r>
        <w:t xml:space="preserve">0.3</w:t>
      </w:r>
      <w:r>
        <w:br/>
      </w:r>
      <w:r>
        <w:rPr>
          <w:b/>
          <w:bCs/>
        </w:rPr>
        <w:t xml:space="preserve">Дата:</w:t>
      </w:r>
      <w:r>
        <w:t xml:space="preserve"> </w:t>
      </w:r>
      <w:r>
        <w:t xml:space="preserve">24 сентября 2026 года</w:t>
      </w:r>
      <w:r>
        <w:br/>
      </w:r>
      <w:r>
        <w:rPr>
          <w:b/>
          <w:bCs/>
        </w:rPr>
        <w:t xml:space="preserve">Статус:</w:t>
      </w:r>
      <w:r>
        <w:t xml:space="preserve"> </w:t>
      </w:r>
      <w:r>
        <w:t xml:space="preserve">Прикладное дополнение к</w:t>
      </w:r>
      <w:r>
        <w:t xml:space="preserve"> </w:t>
      </w:r>
      <w:hyperlink r:id="rId18">
        <w:r>
          <w:rPr>
            <w:rStyle w:val="Hyperlink"/>
          </w:rPr>
          <w:t xml:space="preserve">методологии оценки</w:t>
        </w:r>
      </w:hyperlink>
      <w:r>
        <w:t xml:space="preserve"> </w:t>
      </w:r>
      <w:r>
        <w:t xml:space="preserve">для всех видов цифровых ресурсов (слой проверки с участием пользователей, раздел 4.3) и к</w:t>
      </w:r>
      <w:r>
        <w:t xml:space="preserve"> </w:t>
      </w:r>
      <w:hyperlink r:id="rId19">
        <w:r>
          <w:rPr>
            <w:rStyle w:val="Hyperlink"/>
          </w:rPr>
          <w:t xml:space="preserve">методологии разработки</w:t>
        </w:r>
      </w:hyperlink>
      <w:r>
        <w:t xml:space="preserve">. Реальные пользовательские сессии по этому протоколу пока не проведены.</w:t>
      </w:r>
    </w:p>
    <w:bookmarkStart w:id="28" w:name="назначение-и-основание"/>
    <w:p>
      <w:pPr>
        <w:pStyle w:val="Heading2"/>
      </w:pPr>
      <w:bookmarkStart w:id="1830" w:name="_TocAnchor4_1829"/>
      <w:r>
        <w:t xml:space="preserve">1. Назначение и основание</w:t>
      </w:r>
      <w:bookmarkEnd w:id="1830"/>
    </w:p>
    <w:p>
      <w:pPr>
        <w:pStyle w:val="FirstParagraph"/>
      </w:pPr>
      <w:r>
        <w:t xml:space="preserve">Протокол помогает установить, понимает ли человек назначение услуги, свое положение в процессе, следующий шаг, ошибку и последствия решения. Он также позволяет найти требования к памяти, вниманию, чтению и темпу работы, которые мешают выполнению задачи.</w:t>
      </w:r>
    </w:p>
    <w:p>
      <w:pPr>
        <w:pStyle w:val="BodyText"/>
      </w:pPr>
      <w:r>
        <w:t xml:space="preserve">Основания:</w:t>
      </w:r>
      <w:r>
        <w:t xml:space="preserve"> </w:t>
      </w:r>
      <w:hyperlink r:id="rId20">
        <w:r>
          <w:rPr>
            <w:rStyle w:val="Hyperlink"/>
          </w:rPr>
          <w:t xml:space="preserve">W3C COGA, Making Content Usable, 29.04.2021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W3C об участии пользователей в оценке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общие руководящие указания ГОСТ Р ИСО 21801-1-2022, официальная область применения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практика пользовательского тестирования Uutilsynet</w:t>
        </w:r>
      </w:hyperlink>
      <w:r>
        <w:t xml:space="preserve">, национальные испанские стандарты текста для легкого чтения</w:t>
      </w:r>
      <w:r>
        <w:t xml:space="preserve"> </w:t>
      </w:r>
      <w:hyperlink r:id="rId24">
        <w:r>
          <w:rPr>
            <w:rStyle w:val="Hyperlink"/>
          </w:rPr>
          <w:t xml:space="preserve">UNE 153101:2018 EX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UNE 153102:2018 EX</w:t>
        </w:r>
      </w:hyperlink>
      <w:r>
        <w:t xml:space="preserve">.</w:t>
      </w:r>
    </w:p>
    <w:p>
      <w:pPr>
        <w:pStyle w:val="BodyText"/>
      </w:pPr>
      <w:r>
        <w:t xml:space="preserve">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 Сложность задания для человека сама по себе не доказывает нарушение WCAG или российского стандарта.</w:t>
      </w:r>
    </w:p>
    <w:bookmarkStart w:id="26" w:name="область-применения-и-термины"/>
    <w:p>
      <w:pPr>
        <w:pStyle w:val="Heading3"/>
      </w:pPr>
      <w:r>
        <w:t xml:space="preserve">1.1. Область применения и термины</w:t>
      </w:r>
    </w:p>
    <w:p>
      <w:pPr>
        <w:pStyle w:val="FirstParagraph"/>
      </w:pPr>
      <w:r>
        <w:t xml:space="preserve">Протокол применяют исследователи и оценщики при подготовке пользовательских проверок понятности и когнитивной доступности как приложение к методологии оценки для любого вида цифрового ресурса (слой проверки с участием пользователей, раздел 4.3; для сайтов также раздел А.7, пункты 32-34) и к методологии разработки. Он не заменяет техническую проверку по WCAG и не создает отдельного уровня соответствия.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Проверка К01-К12</w:t>
      </w:r>
      <w:r>
        <w:t xml:space="preserve"> </w:t>
      </w:r>
      <w:r>
        <w:t xml:space="preserve">- авторский сценарий, задание для пользовательской сессии по конкретному аспекту понятности (раздел 4).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Проектный стоп-фактор</w:t>
      </w:r>
      <w:r>
        <w:t xml:space="preserve"> </w:t>
      </w:r>
      <w:r>
        <w:t xml:space="preserve">- воспроизводимый барьер в основном сценарии, требующий разбора до приемки (раздел 6).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Направляющая помощь</w:t>
      </w:r>
      <w:r>
        <w:t xml:space="preserve"> </w:t>
      </w:r>
      <w:r>
        <w:t xml:space="preserve">- подсказка модератора, называющая элемент, путь или объясняющая содержание ресурса, в отличие от нейтрального повтора цели (раздел 3).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WCAG (Web Content Accessibility Guidelines)</w:t>
      </w:r>
      <w:r>
        <w:t xml:space="preserve"> </w:t>
      </w:r>
      <w:r>
        <w:t xml:space="preserve">- руководство по доступности веб-контента, которое разрабатывает и сопровождает консорциум W3C.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W3C (World Wide Web Consortium)</w:t>
      </w:r>
      <w:r>
        <w:t xml:space="preserve"> </w:t>
      </w:r>
      <w:r>
        <w:t xml:space="preserve">- международный консорциум, разрабатывающий стандарты и рекомендации для интернета, включая WCAG.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WAI (Web Accessibility Initiative)</w:t>
      </w:r>
      <w:r>
        <w:t xml:space="preserve"> </w:t>
      </w:r>
      <w:r>
        <w:t xml:space="preserve">- инициатива (программа) консорциума W3C, которая ведет разработку WCAG и сопутствующих документов по доступности.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COGA (Cognitive and Learning Disabilities Accessibility Task Force)</w:t>
      </w:r>
      <w:r>
        <w:t xml:space="preserve"> </w:t>
      </w:r>
      <w:r>
        <w:t xml:space="preserve">- рабочая группа консорциума W3C по когнитивной доступности; выпускает рекомендательные, не обязательные дополнения к WCAG для людей с когнитивными и обучающими нарушениями.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Уровни A, AA, AAA</w:t>
      </w:r>
      <w:r>
        <w:t xml:space="preserve"> </w:t>
      </w:r>
      <w:r>
        <w:t xml:space="preserve">- три ступени соответствия WCAG по возрастанию строгости требований.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Вспомогательные технологии (АТ)</w:t>
      </w:r>
      <w:r>
        <w:t xml:space="preserve"> </w:t>
      </w:r>
      <w:r>
        <w:t xml:space="preserve">- программы и устройства, которыми пользуется человек с инвалидностью для работы с цифровым ресурсом: программа экранного доступа, экранная лупа, альтернативное устройство ввода и подобные средства.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ISO</w:t>
      </w:r>
      <w:r>
        <w:t xml:space="preserve"> </w:t>
      </w:r>
      <w:r>
        <w:t xml:space="preserve">- Международная организация по стандартизации, издающая международные стандарты, в том числе в области доступности; сам по себе международный стандарт не является нормативным правовым актом России, пока не принят в виде ГОСТ Р либо на него не сослались договор или техническое задание.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ГОСТ Р ИСО</w:t>
      </w:r>
      <w:r>
        <w:t xml:space="preserve"> </w:t>
      </w:r>
      <w:r>
        <w:t xml:space="preserve">- обозначение российского национального стандарта, принятого на основе международного стандарта ISO (или ISO/IEC) с указанием степени соответствия - идентичный (IDT), модифицированный (MOD) или неэквивалентный (NEQ); идентичный стандарт (IDT) означает, что текст ГОСТ Р полностью совпадает с международным.</w:t>
      </w:r>
    </w:p>
    <w:bookmarkEnd w:id="26"/>
    <w:bookmarkStart w:id="27" w:name="применение-к-видам-ресурсов"/>
    <w:p>
      <w:pPr>
        <w:pStyle w:val="Heading3"/>
      </w:pPr>
      <w:r>
        <w:t xml:space="preserve">1.2. Применение к видам ресурсов</w:t>
      </w:r>
    </w:p>
    <w:p>
      <w:pPr>
        <w:pStyle w:val="FirstParagraph"/>
      </w:pPr>
      <w:r>
        <w:t xml:space="preserve">Проверки К01-К12 описывают задачи человека, а не устройство интерфейса, поэтому применяются к любому виду ресурса из части II методологии оценки. Вид ресурса определяет стартовую точку, устройство и вспомогательные технологии участника, а также то, какие задания применимы: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сайты и веб-приложения (раздел А)</w:t>
      </w:r>
      <w:r>
        <w:t xml:space="preserve"> </w:t>
      </w:r>
      <w:r>
        <w:t xml:space="preserve">- все задания при наличии функции; результат К-проверок используется для пунктов 32-34 раздела А.7;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электронные документы (раздел Б)</w:t>
      </w:r>
      <w:r>
        <w:t xml:space="preserve"> </w:t>
      </w:r>
      <w:r>
        <w:t xml:space="preserve">- прежде всего К01, К02, К03, К12, а для заполняемых форм также К04, К07 и К08;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мобильные приложения (раздел В) и настольное программное обеспечение (раздел Г)</w:t>
      </w:r>
      <w:r>
        <w:t xml:space="preserve"> </w:t>
      </w:r>
      <w:r>
        <w:t xml:space="preserve">- все задания при наличии функции, на устройстве и с настройками, которыми участник пользуется в жизни;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цифровые сервисы и процессы с авторизацией (раздел Д)</w:t>
      </w:r>
      <w:r>
        <w:t xml:space="preserve"> </w:t>
      </w:r>
      <w:r>
        <w:t xml:space="preserve">- задания проходятся на всём процессе, включая переходы между видами ресурсов; К09 обязателен при наличии входа;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терминалы самообслуживания (раздел Е)</w:t>
      </w:r>
      <w:r>
        <w:t xml:space="preserve"> </w:t>
      </w:r>
      <w:r>
        <w:t xml:space="preserve">- задания проводятся на месте установки или на демонстрационном терминале, с особым вниманием к К05, К06, К08 и К10; участие без собственного устройства и настроек участника фиксируется как условие сессии.</w:t>
      </w:r>
    </w:p>
    <w:p>
      <w:pPr>
        <w:pStyle w:val="FirstParagraph"/>
      </w:pPr>
      <w:r>
        <w:t xml:space="preserve">Результат К-проверок для любого вида ресурса хранится отдельно от решения о соответствии (раздел 6) и не заменяет протоколы проверок соответствующего раздела.</w:t>
      </w:r>
    </w:p>
    <w:bookmarkEnd w:id="27"/>
    <w:bookmarkEnd w:id="28"/>
    <w:bookmarkStart w:id="29" w:name="подготовка-исследования"/>
    <w:p>
      <w:pPr>
        <w:pStyle w:val="Heading2"/>
      </w:pPr>
      <w:bookmarkStart w:id="1832" w:name="_TocAnchor29_1831"/>
      <w:r>
        <w:t xml:space="preserve">2. Подготовка исследования</w:t>
      </w:r>
      <w:bookmarkEnd w:id="1832"/>
    </w:p>
    <w:p>
      <w:pPr>
        <w:pStyle w:val="FirstParagraph"/>
      </w:pPr>
      <w:r>
        <w:t xml:space="preserve">Сначала задают решение, ради которого проводится исследование: например, можно ли выпускать новый сценарий подачи заявления или требуется переработать подтверждение платежа. Выбирают реальные значимые задачи и явно указывают, какое понимание необходимо человеку для безопасного самостоятельного действия.</w:t>
      </w:r>
    </w:p>
    <w:p>
      <w:pPr>
        <w:pStyle w:val="BodyText"/>
      </w:pPr>
      <w:r>
        <w:t xml:space="preserve">В паспорт включают: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890"/>
        <w:gridCol w:w="6748"/>
      </w:tblGrid>
      <w:tr>
        <w:trPr>
          <w:tblHeader w:val="true"/>
        </w:trPr>
        <w:tc>
          <w:tcPr>
            <w:tcW w:type="dxa" w:w="2890"/>
          </w:tcPr>
          <w:p>
            <w:pPr>
              <w:pStyle w:val="Compact"/>
            </w:pPr>
            <w:r>
              <w:rPr>
                <w:b/>
              </w:rPr>
              <w:t xml:space="preserve">Поле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rPr>
                <w:b/>
              </w:rPr>
              <w:t xml:space="preserve">Что записать до сессии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Объект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Версия прототипа или продукта, язык, роль, процесс, начальное и конечное состояние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Потребности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Трудности чтения, запоминания, удержания внимания, понимания терминов, обработки нескольких стимулов или смены контекста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Контекст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Знакомство с услугой, языком, устройством и вспомогательными средствами; привычная помощь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Задача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Нейтральная цель человека, без подсказки названия нужной кнопки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Ключевое понимание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Что человек должен понять до действия: сумму, срок, адресата, обязательство, способ исправить или отменить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Материалы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Безопасные вымышленные данные и состояние, которое можно восстановить для следующего участника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Поддержка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Способ предъявления инструкции, обычные средства пользователя, допустимая помощь и условия остановки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План охвата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Какие потребности представлены, какие отсутствуют, почему выбран такой состав участников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Ответственные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Модератор, наблюдатель, владелец решения и специалист, помогающий адаптировать коммуникацию</w:t>
            </w:r>
          </w:p>
        </w:tc>
      </w:tr>
    </w:tbl>
    <w:p>
      <w:pPr>
        <w:pStyle w:val="BodyText"/>
      </w:pPr>
      <w:r>
        <w:t xml:space="preserve">Набор строят по потребностям, а не по предположению, что диагноз задает одинаковое поведение. Пожилой возраст не означает когнитивное нарушение; наличие РАС или СДВГ не описывает автоматически возможности чтения и принятия решений. Одного участника нельзя объявлять представителем всей группы.</w:t>
      </w:r>
    </w:p>
    <w:p>
      <w:pPr>
        <w:pStyle w:val="BodyText"/>
      </w:pPr>
      <w:r>
        <w:t xml:space="preserve">Универсального достаточного числа участников этот проект не устанавливает. Для качественного пилота важны разнообразие значимых потребностей и повторная проверка изменений. Численность и критерий завершения каждой итерации согласуют заранее. Доли успеха в малой целевой выборке описывают только эту выборку, а не распространенность барьеров среди населения.</w:t>
      </w:r>
    </w:p>
    <w:bookmarkEnd w:id="29"/>
    <w:bookmarkStart w:id="30" w:name="согласие-помощь-и-остановка"/>
    <w:p>
      <w:pPr>
        <w:pStyle w:val="Heading2"/>
      </w:pPr>
      <w:bookmarkStart w:id="1834" w:name="_TocAnchor34_1833"/>
      <w:r>
        <w:t xml:space="preserve">3. Согласие, помощь и остановка</w:t>
      </w:r>
      <w:bookmarkEnd w:id="1834"/>
    </w:p>
    <w:p>
      <w:pPr>
        <w:pStyle w:val="FirstParagraph"/>
      </w:pPr>
      <w:r>
        <w:t xml:space="preserve">До начала участник получает понятное объяснение цели, действий, длительности, записи и использования данных. Ему сообщают, что оценивают ресурс, а не его самого, а участие можно прекратить без объяснения. Согласие на участие и согласие на аудио или видео фиксируют отдельно. Если запись не согласована, используют обезличенные заметки.</w:t>
      </w:r>
    </w:p>
    <w:p>
      <w:pPr>
        <w:pStyle w:val="BodyText"/>
      </w:pPr>
      <w:r>
        <w:t xml:space="preserve">Информацию о согласии можно прочитать вслух или представить в удобном формате. Проверяют понимание через просьбу объяснить своими словами, что будет происходить и как остановиться. Это не экзамен. Если человек не может выразить понятное и добровольное решение, сессию не начинают; дальнейший порядок определяет ответственный за исследование с учетом применимых правил и необходимого представительства. Сам факт инвалидности не является основанием считать взрослого человека неспособным дать согласие.</w:t>
      </w:r>
    </w:p>
    <w:p>
      <w:pPr>
        <w:pStyle w:val="BodyText"/>
      </w:pPr>
      <w:r>
        <w:t xml:space="preserve">Компенсация, если предусмотрена, не зависит от успешности выполнения задания. Участник может пользоваться привычным устройством, программой чтения, увеличением, альтернативной коммуникацией и обычной поддержкой. Эти условия описываются в результате.</w:t>
      </w:r>
    </w:p>
    <w:p>
      <w:pPr>
        <w:pStyle w:val="BodyText"/>
      </w:pPr>
      <w:r>
        <w:t xml:space="preserve">Для каждого действия различают: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самостоятельно в согласованных условиях:</w:t>
      </w:r>
      <w:r>
        <w:t xml:space="preserve"> </w:t>
      </w:r>
      <w:r>
        <w:t xml:space="preserve">человек использует обычные средства и доступную на сайте помощь;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 нейтральным повтором:</w:t>
      </w:r>
      <w:r>
        <w:t xml:space="preserve"> </w:t>
      </w:r>
      <w:r>
        <w:t xml:space="preserve">модератор повторил исходную цель, не указав способ решения;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 направляющей помощью:</w:t>
      </w:r>
      <w:r>
        <w:t xml:space="preserve"> </w:t>
      </w:r>
      <w:r>
        <w:t xml:space="preserve">модератор назвал элемент, путь или объяснил содержание сайта;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не завершено:</w:t>
      </w:r>
      <w:r>
        <w:t xml:space="preserve"> </w:t>
      </w:r>
      <w:r>
        <w:t xml:space="preserve">участник остановился, отказался, выбрал иной исход или сработало условие остановки.</w:t>
      </w:r>
    </w:p>
    <w:p>
      <w:pPr>
        <w:pStyle w:val="FirstParagraph"/>
      </w:pPr>
      <w:r>
        <w:t xml:space="preserve">Направляющая помощь не превращается задним числом в самостоятельный успех. Привычная поддержка фиксируется отдельно от подсказок исследователя. Требование постоянно рассуждать вслух необязательно: оно само может увеличить нагрузку. Допустимы паузы и короткие вопросы после действия.</w:t>
      </w:r>
    </w:p>
    <w:p>
      <w:pPr>
        <w:pStyle w:val="BodyText"/>
      </w:pPr>
      <w:r>
        <w:t xml:space="preserve">Сессию останавливают по просьбе участника, при заметном утомлении или дискомфорте, риске раскрытия личных данных, реальной отправки заявления, покупки либо платежа. После остановки предлагают перерыв или завершение, без давления продолжить. В исследовании используют тестовый контур и вымышленные данные.</w:t>
      </w:r>
    </w:p>
    <w:bookmarkEnd w:id="30"/>
    <w:bookmarkStart w:id="31" w:name="проверки-к01к12"/>
    <w:p>
      <w:pPr>
        <w:pStyle w:val="Heading2"/>
      </w:pPr>
      <w:bookmarkStart w:id="1836" w:name="_TocAnchor45_1835"/>
      <w:r>
        <w:t xml:space="preserve">4. Проверки К01–К12</w:t>
      </w:r>
      <w:bookmarkEnd w:id="1836"/>
    </w:p>
    <w:p>
      <w:pPr>
        <w:pStyle w:val="FirstParagraph"/>
      </w:pPr>
      <w:r>
        <w:t xml:space="preserve">Каждое задание применяется только при наличии соответствующей функции. Для неприменимости записывают конкретное основание. До пользовательской сессии эксперт проходит тот же сценарий, устраняет известные технические блокеры и отмечает оставшиеся ограничения. Экспертный прогноз и наблюдение за человеком хранятся раздельно.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072"/>
        <w:gridCol w:w="4488"/>
        <w:gridCol w:w="3078"/>
      </w:tblGrid>
      <w:tr>
        <w:trPr>
          <w:tblHeader w:val="true"/>
        </w:trPr>
        <w:tc>
          <w:tcPr>
            <w:tcW w:type="dxa" w:w="2072"/>
          </w:tcPr>
          <w:p>
            <w:pPr>
              <w:pStyle w:val="Compact"/>
            </w:pPr>
            <w:r>
              <w:rPr>
                <w:b/>
              </w:rPr>
              <w:t xml:space="preserve">ID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rPr>
                <w:b/>
              </w:rPr>
              <w:t xml:space="preserve">Что подготовить и предложить человеку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rPr>
                <w:b/>
              </w:rPr>
              <w:t xml:space="preserve">Что наблюдать и фиксировать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К01. Назначение услуги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Показать стартовую точку ресурса (страницу сайта, первый экран приложения, первую страницу документа, начальный экран терминала) без экскурсии. Предложить выяснить, подходит ли услуга для заданной ситуации и что потребуется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Может ли человек найти условия и объяснить назначение; какие слова или элементы создали неверное ожидание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К02. Смысл обозначений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Выбрать значимые кнопки и термины. Перед безопасным действием попросить предположить, что произойдет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Совпадение ожидания с действием; неоднозначные подписи; необходимость угадывать значение иконки или метафоры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К03. Ориентация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Дать многошаговую задачу, затем предложить вернуться к предыдущему решению и продолжить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Понимание текущего шага, оставшихся действий и сохраненного результата; потеря места после возврата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К04. Нагрузка на память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Предложить заполнить форму по тестовым сведениям и позднее изменить одно значение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Что приходится помнить, переписывать или искать повторно; доступность просмотра и исправления введенного; возможность использовать заметки и вставку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К05. Внимание и стимулы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Выбрать экран с необязательным движением, всплывающим сообщением или несколькими задачами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Сбивает ли стимул с цели; удается ли остановить или скрыть его; сохраняется ли понятный путь после закрытия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К06. Темп и прерывание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В согласованный момент сделать паузу и вернуться к задаче. Если есть таймер, отдельно проверить его предупреждение на тестовом контуре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Понимание ограничения времени, продления и восстановления; место потери информации; возможность продолжить без повторного сложного ввода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К07. Ошибка и восстановление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В безопасной форме использовать заранее заданное ошибочное значение, затем предложить исправить проблему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Понимает ли человек причину и нужное изменение; находит ли поле; сохраняются ли корректные сведения; не возникает ли новый цикл ошибок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К08. Последствия решения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Перед условной отправкой или оплатой предложить проверить итог и объяснить, что будет принято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Правильное понимание суммы, адресата, срока и обязательства; наличие реального пути исправления и отмены; расхождение между внешним видом и последствиями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К09. Вход и восстановление доступа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На тестовой учетной записи пройти вход и сценарий забытого секрета, сохранив привычные средства пользователя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Требования к запоминанию, переписыванию кодов или решению задачи; понятность переключения каналов; поддержка вставки и менеджера паролей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К10. Помощь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Предложить найти ответ на вопрос по ходу процесса, получить помощь и продолжить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Находится ли помощь в нужном месте; подходит ли канал коммуникации; сохраняется ли контекст задачи после обращения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К11. Настройки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Предложить применить нужную человеку настройку текста, движения или представления, если она есть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Найдена ли настройка, понятен ли эффект, сохраняется ли он; не становится ли выбор настроек дополнительным барьером</w:t>
            </w:r>
          </w:p>
        </w:tc>
      </w:tr>
      <w:tr>
        <w:tc>
          <w:tcPr>
            <w:tcW w:type="dxa" w:w="2072"/>
          </w:tcPr>
          <w:p>
            <w:pPr>
              <w:pStyle w:val="Compact"/>
            </w:pPr>
            <w:r>
              <w:t xml:space="preserve">К12. Понятность текста</w:t>
            </w:r>
          </w:p>
        </w:tc>
        <w:tc>
          <w:tcPr>
            <w:tcW w:type="dxa" w:w="4488"/>
          </w:tcPr>
          <w:p>
            <w:pPr>
              <w:pStyle w:val="Compact"/>
            </w:pPr>
            <w:r>
              <w:t xml:space="preserve">Дать важный текст и попросить объяснить его смысл и следующий шаг своими словами; затем решить задачу по этому тексту</w:t>
            </w:r>
          </w:p>
        </w:tc>
        <w:tc>
          <w:tcPr>
            <w:tcW w:type="dxa" w:w="3078"/>
          </w:tcPr>
          <w:p>
            <w:pPr>
              <w:pStyle w:val="Compact"/>
            </w:pPr>
            <w:r>
              <w:t xml:space="preserve">Ошибки смысла, неясные термины и условия; пропущенные последствия; различие между простым пересказом и правильным применением</w:t>
            </w:r>
          </w:p>
        </w:tc>
      </w:tr>
    </w:tbl>
    <w:p>
      <w:pPr>
        <w:pStyle w:val="BodyText"/>
      </w:pPr>
      <w:r>
        <w:t xml:space="preserve">Для К08 перечень существенных сведений заранее проверяет владелец услуги, а при необходимости профильный специалист. Упрощение текста не должно скрывать стоимость, срок, ограничения и последствия. Не требуется воспроизводить формулировку дословно: оценивается смысл, нужный для решения.</w:t>
      </w:r>
    </w:p>
    <w:p>
      <w:pPr>
        <w:pStyle w:val="BodyText"/>
      </w:pPr>
      <w:r>
        <w:t xml:space="preserve">Для К12 рассчитываемая автоматически «читаемость» может быть вспомогательным сигналом. Она не является доказательством понимания. Задания используют текст, который человек еще не выучил в ходе совместной редакции. В повторной итерации полезно сочетать повторных участников и людей, не видевших предыдущую версию, явно различая их результаты.</w:t>
      </w:r>
    </w:p>
    <w:bookmarkEnd w:id="31"/>
    <w:bookmarkStart w:id="32" w:name="карточка-наблюдения"/>
    <w:p>
      <w:pPr>
        <w:pStyle w:val="Heading2"/>
      </w:pPr>
      <w:bookmarkStart w:id="1838" w:name="_TocAnchor49_1837"/>
      <w:r>
        <w:t xml:space="preserve">5. Карточка наблюдения</w:t>
      </w:r>
      <w:bookmarkEnd w:id="1838"/>
    </w:p>
    <w:p>
      <w:pPr>
        <w:pStyle w:val="SourceCode"/>
      </w:pPr>
      <w:r>
        <w:rPr>
          <w:rStyle w:val="VerbatimChar"/>
        </w:rPr>
        <w:t xml:space="preserve">Исследование / версия протокола:</w:t>
      </w:r>
      <w:r>
        <w:br/>
      </w:r>
      <w:r>
        <w:rPr>
          <w:rStyle w:val="VerbatimChar"/>
        </w:rPr>
        <w:t xml:space="preserve">Участник: обезличенный код</w:t>
      </w:r>
      <w:r>
        <w:br/>
      </w:r>
      <w:r>
        <w:rPr>
          <w:rStyle w:val="VerbatimChar"/>
        </w:rPr>
        <w:t xml:space="preserve">Согласованные условия и привычная поддержка:</w:t>
      </w:r>
      <w:r>
        <w:br/>
      </w:r>
      <w:r>
        <w:rPr>
          <w:rStyle w:val="VerbatimChar"/>
        </w:rPr>
        <w:t xml:space="preserve">Объект / версия / роль / состояние:</w:t>
      </w:r>
      <w:r>
        <w:br/>
      </w:r>
      <w:r>
        <w:rPr>
          <w:rStyle w:val="VerbatimChar"/>
        </w:rPr>
        <w:t xml:space="preserve">Потребность и контекст, существенные для задания:</w:t>
      </w:r>
      <w:r>
        <w:br/>
      </w:r>
      <w:r>
        <w:rPr>
          <w:rStyle w:val="VerbatimChar"/>
        </w:rPr>
        <w:t xml:space="preserve">Проверка К01–К12:</w:t>
      </w:r>
      <w:r>
        <w:br/>
      </w:r>
      <w:r>
        <w:rPr>
          <w:rStyle w:val="VerbatimChar"/>
        </w:rPr>
        <w:t xml:space="preserve">Нейтральная формулировка задания:</w:t>
      </w:r>
      <w:r>
        <w:br/>
      </w:r>
      <w:r>
        <w:rPr>
          <w:rStyle w:val="VerbatimChar"/>
        </w:rPr>
        <w:t xml:space="preserve">Заранее определенные ключевые сведения и ожидаемый исход:</w:t>
      </w:r>
      <w:r>
        <w:br/>
      </w:r>
      <w:r>
        <w:rPr>
          <w:rStyle w:val="VerbatimChar"/>
        </w:rPr>
        <w:t xml:space="preserve">Тестовые данные:</w:t>
      </w:r>
      <w:r>
        <w:br/>
      </w:r>
      <w:r>
        <w:rPr>
          <w:rStyle w:val="VerbatimChar"/>
        </w:rPr>
        <w:t xml:space="preserve">Действия и точка затруднения:</w:t>
      </w:r>
      <w:r>
        <w:br/>
      </w:r>
      <w:r>
        <w:rPr>
          <w:rStyle w:val="VerbatimChar"/>
        </w:rPr>
        <w:t xml:space="preserve">Объяснение участника своими словами:</w:t>
      </w:r>
      <w:r>
        <w:br/>
      </w:r>
      <w:r>
        <w:rPr>
          <w:rStyle w:val="VerbatimChar"/>
        </w:rPr>
        <w:t xml:space="preserve">Помощь: обычная / повтор инструкции / направляющая</w:t>
      </w:r>
      <w:r>
        <w:br/>
      </w:r>
      <w:r>
        <w:rPr>
          <w:rStyle w:val="VerbatimChar"/>
        </w:rPr>
        <w:t xml:space="preserve">Исход: самостоятельно / с повтором / с помощью / не завершено</w:t>
      </w:r>
      <w:r>
        <w:br/>
      </w:r>
      <w:r>
        <w:rPr>
          <w:rStyle w:val="VerbatimChar"/>
        </w:rPr>
        <w:t xml:space="preserve">Причина остановки или отказа, если была:</w:t>
      </w:r>
      <w:r>
        <w:br/>
      </w:r>
      <w:r>
        <w:rPr>
          <w:rStyle w:val="VerbatimChar"/>
        </w:rPr>
        <w:t xml:space="preserve">Доказательство: обезличенная заметка, согласованная запись, состояние</w:t>
      </w:r>
      <w:r>
        <w:br/>
      </w:r>
      <w:r>
        <w:rPr>
          <w:rStyle w:val="VerbatimChar"/>
        </w:rPr>
        <w:t xml:space="preserve">Интерпретация и возможные альтернативные объяснения:</w:t>
      </w:r>
      <w:r>
        <w:br/>
      </w:r>
      <w:r>
        <w:rPr>
          <w:rStyle w:val="VerbatimChar"/>
        </w:rPr>
        <w:t xml:space="preserve">Связанный технический критерий, если нарушение отдельно подтверждено:</w:t>
      </w:r>
      <w:r>
        <w:br/>
      </w:r>
      <w:r>
        <w:rPr>
          <w:rStyle w:val="VerbatimChar"/>
        </w:rPr>
        <w:t xml:space="preserve">Предложение изменения:</w:t>
      </w:r>
      <w:r>
        <w:br/>
      </w:r>
      <w:r>
        <w:rPr>
          <w:rStyle w:val="VerbatimChar"/>
        </w:rPr>
        <w:t xml:space="preserve">Владелец / срок / повторная проверка:</w:t>
      </w:r>
    </w:p>
    <w:p>
      <w:pPr>
        <w:pStyle w:val="FirstParagraph"/>
      </w:pPr>
      <w:r>
        <w:t xml:space="preserve">Время выполнения фиксируют только вместе с паузами, помощью и условиями. Медленное выполнение не признается дефектом само по себе. Объяснение участника не следует заменять догадкой наблюдателя. Если причина может заключаться в незнакомой услуге, формулировке задания или непривычном устройстве, это отражают как альтернативное объяснение и планируют проверку.</w:t>
      </w:r>
    </w:p>
    <w:bookmarkEnd w:id="32"/>
    <w:bookmarkStart w:id="33" w:name="правила-решения"/>
    <w:p>
      <w:pPr>
        <w:pStyle w:val="Heading2"/>
      </w:pPr>
      <w:bookmarkStart w:id="1840" w:name="_TocAnchor52_1839"/>
      <w:r>
        <w:t xml:space="preserve">6. Правила решения</w:t>
      </w:r>
      <w:bookmarkEnd w:id="1840"/>
    </w:p>
    <w:p>
      <w:pPr>
        <w:pStyle w:val="FirstParagraph"/>
      </w:pPr>
      <w:r>
        <w:t xml:space="preserve">Для каждой значимой задачи составляют матрицу участников и исходов. Отдельно показывают необратимые или опасные недопонимания, прекращение задачи, направляющую помощь и самостоятельное завершение. Не объединяют людей с разными потребностями в один средний «процент когнитивной доступности».</w:t>
      </w:r>
    </w:p>
    <w:p>
      <w:pPr>
        <w:pStyle w:val="BodyText"/>
      </w:pPr>
      <w:r>
        <w:rPr>
          <w:b/>
          <w:bCs/>
        </w:rPr>
        <w:t xml:space="preserve">Проектный стоп-фактор:</w:t>
      </w:r>
      <w:r>
        <w:t xml:space="preserve"> </w:t>
      </w:r>
      <w:r>
        <w:t xml:space="preserve">воспроизводимый барьер в основном сценарии, из-за которого участник не может закончить задачу или неверно понимает существенное последствие, требует разбора до приемки. Один случай может быть достаточным сигналом серьезного риска, но не оценкой его распространенности. Решение о выпуске принимает владелец услуги на основании описанного риска и проверенных вариантов исправления. Наличие альтернативного канала само по себе не подтверждает соответствие сайта WCAG.</w:t>
      </w:r>
    </w:p>
    <w:p>
      <w:pPr>
        <w:pStyle w:val="BodyText"/>
      </w:pPr>
      <w:r>
        <w:t xml:space="preserve">Для остальных находок задают конкретное изменение и ожидаемый эффект. Повтор проверяет исходный сценарий, новое объяснение и последствия для соседних шагов. Если исправление меняет текст, последовательность либо модель взаимодействия, простого подтверждения закрытия задачи разработчиком недостаточно.</w:t>
      </w:r>
    </w:p>
    <w:p>
      <w:pPr>
        <w:pStyle w:val="BodyText"/>
      </w:pPr>
      <w:r>
        <w:rPr>
          <w:b/>
          <w:bCs/>
        </w:rPr>
        <w:t xml:space="preserve">Предложение проекта.</w:t>
      </w:r>
      <w:r>
        <w:t xml:space="preserve"> </w:t>
      </w:r>
      <w:r>
        <w:t xml:space="preserve">Версия «упрощенный текст» или «текст для легкого чтения» не признается готовой без проверки К12 (раздел 4) минимум одним человеком с трудностями чтения или понимания, ранее не участвовавшим в редактировании этого текста; порядок согласия, помощи и остановки для такой проверки определяется разделом 3 и отдельно здесь не повторяется. Прохождение только внутренней редакторской проверки без такого участника не дает основания утверждать, что версия соответствует своему назначению. Если прямое участие такого человека недоступно, допускается проверка представителем - педагогом или сопровождающим, знакомым с потребностями целевой группы, - с явной пометкой в результате, что сила такого доказательства ниже прямого участия. Требование сформулировано по аналогии с испанскими стандартами текста для легкого чтения</w:t>
      </w:r>
      <w:r>
        <w:t xml:space="preserve"> </w:t>
      </w:r>
      <w:hyperlink r:id="rId24">
        <w:r>
          <w:rPr>
            <w:rStyle w:val="Hyperlink"/>
          </w:rPr>
          <w:t xml:space="preserve">UNE 153101:2018 EX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UNE 153102:2018 EX</w:t>
        </w:r>
      </w:hyperlink>
      <w:r>
        <w:t xml:space="preserve">, которые требуют такой валидации как условие соответствия.</w:t>
      </w:r>
    </w:p>
    <w:p>
      <w:pPr>
        <w:pStyle w:val="BodyText"/>
      </w:pPr>
      <w:r>
        <w:t xml:space="preserve">Допустимый вывод: «В версии X четыре участника с указанными потребностями самостоятельно завершили задачу T; двоим потребовалось объяснение термина Y. Наблюдение требует изменения текста и повторной проверки». Числа в этой фразе являются примером оформления, не результатом проведенного исследования.</w:t>
      </w:r>
    </w:p>
    <w:p>
      <w:pPr>
        <w:pStyle w:val="BodyText"/>
      </w:pPr>
      <w:r>
        <w:t xml:space="preserve">Недопустимые выводы: «ресурс когнитивно доступен всем», «соответствие WCAG подтверждено пользователями», «80% доступности» без определения предмета и знаменателя. Отсутствие замечаний в малой выборке означает только отсутствие выявленных проблем при данных условиях.</w:t>
      </w:r>
    </w:p>
    <w:bookmarkEnd w:id="33"/>
    <w:bookmarkStart w:id="34" w:name="хранение-и-передача-результатов"/>
    <w:p>
      <w:pPr>
        <w:pStyle w:val="Heading2"/>
      </w:pPr>
      <w:bookmarkStart w:id="1842" w:name="_TocAnchor59_1841"/>
      <w:r>
        <w:t xml:space="preserve">7. Хранение и передача результатов</w:t>
      </w:r>
      <w:bookmarkEnd w:id="1842"/>
    </w:p>
    <w:p>
      <w:pPr>
        <w:pStyle w:val="FirstParagraph"/>
      </w:pPr>
      <w:r>
        <w:t xml:space="preserve">В рабочем плане заранее задают владельца данных, разрешенный круг доступа, место хранения и конкретную дату удаления либо пересмотра срока. Публичный отчет содержит обезличенные результаты. Диагнозы, контакты, учетные данные, запись согласия и исследовательские наблюдения не объединяют в общедоступном реестре дефектов.</w:t>
      </w:r>
    </w:p>
    <w:p>
      <w:pPr>
        <w:pStyle w:val="BodyText"/>
      </w:pPr>
      <w:r>
        <w:t xml:space="preserve">Итог передают как перечень проверенных задач, состава потребностей, условий, наблюдений, ограничений, решений и плана повторной проверки. Исправленные технические дефекты и изменения понятности имеют связанные, но отдельные результаты приемки.</w:t>
      </w:r>
    </w:p>
    <w:bookmarkEnd w:id="34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22" Type="http://schemas.openxmlformats.org/officeDocument/2006/relationships/hyperlink" Target="https://protect.gost.ru/gost/details/cb967146-1714-4f81-9f93-86c2ddd9c9d0" TargetMode="External"/><Relationship Id="rId24" Type="http://schemas.openxmlformats.org/officeDocument/2006/relationships/hyperlink" Target="https://www.plenainclusion.org/publicaciones/buscador/norma-une-1531012018-ex-de-lectura-facil-pautas-y-recomendaciones-para-la-elaboracion-de-documentos/" TargetMode="External"/><Relationship Id="rId25" Type="http://schemas.openxmlformats.org/officeDocument/2006/relationships/hyperlink" Target="https://www.plenainclusion.org/publicaciones/buscador/norma-une-1531022018-ex-guia-en-lectura-facil-para-validadores-de-documentos/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8" Type="http://schemas.openxmlformats.org/officeDocument/2006/relationships/hyperlink" Target="metodika-ocenki.docx" TargetMode="External"/><Relationship Id="rId19" Type="http://schemas.openxmlformats.org/officeDocument/2006/relationships/hyperlink" Target="metodika-razrabotki.docx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protect.gost.ru/gost/details/cb967146-1714-4f81-9f93-86c2ddd9c9d0" TargetMode="External"/><Relationship Id="rId24" Type="http://schemas.openxmlformats.org/officeDocument/2006/relationships/hyperlink" Target="https://www.plenainclusion.org/publicaciones/buscador/norma-une-1531012018-ex-de-lectura-facil-pautas-y-recomendaciones-para-la-elaboracion-de-documentos/" TargetMode="External"/><Relationship Id="rId25" Type="http://schemas.openxmlformats.org/officeDocument/2006/relationships/hyperlink" Target="https://www.plenainclusion.org/publicaciones/buscador/norma-une-1531022018-ex-guia-en-lectura-facil-para-validadores-de-documentos/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8" Type="http://schemas.openxmlformats.org/officeDocument/2006/relationships/hyperlink" Target="&#1052;&#1077;&#1090;&#1086;&#1076;&#1086;&#1083;&#1086;&#1075;&#1080;&#1103;_&#1086;&#1094;&#1077;&#1085;&#1082;&#1080;_&#1076;&#1086;&#1089;&#1090;&#1091;&#1087;&#1085;&#1086;&#1089;&#1090;&#1080;_&#1094;&#1080;&#1092;&#1088;&#1086;&#1074;&#1099;&#1093;_&#1088;&#1077;&#1089;&#1091;&#1088;&#1089;&#1086;&#1074;.docx" TargetMode="External"/><Relationship Id="rId19" Type="http://schemas.openxmlformats.org/officeDocument/2006/relationships/hyperlink" Target="&#1052;&#1077;&#1090;&#1086;&#1076;&#1086;&#1083;&#1086;&#1075;&#1080;&#1103;_&#1088;&#1072;&#1079;&#1088;&#1072;&#1073;&#1086;&#1090;&#1082;&#1080;_&#1076;&#1086;&#1089;&#1090;&#1091;&#1087;&#1085;&#1099;&#1093;_&#1089;&#1072;&#1081;&#1090;&#1086;&#1074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0.3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понятности и когнитивной доступности</dc:title>
  <dc:creator/>
  <dc:language>ru-RU</dc:language>
  <cp:keywords/>
  <dcterms:created xsi:type="dcterms:W3CDTF">2026-09-24T10:52:47Z</dcterms:created>
  <dcterms:modified xsi:type="dcterms:W3CDTF">2026-09-24T10:52:47Z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Сентябрь 2026 года</vt:lpwstr>
  </property>
  <property fmtid="{D5CDD505-2E9C-101B-9397-08002B2CF9AE}" pid="3" name="subtitle">
    <vt:lpwstr>Проект для обсуждения. Редакция 0.3</vt:lpwstr>
  </property>
</Properties>
</file>